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12E" w:rsidRPr="008F2860" w:rsidRDefault="00F2412E" w:rsidP="00CC1C73">
      <w:pPr>
        <w:spacing w:after="120" w:line="240" w:lineRule="auto"/>
        <w:jc w:val="center"/>
        <w:rPr>
          <w:rFonts w:ascii="Times New Roman" w:eastAsia="Times New Roman" w:hAnsi="Times New Roman" w:cs="Times New Roman"/>
          <w:sz w:val="36"/>
          <w:szCs w:val="36"/>
        </w:rPr>
      </w:pPr>
      <w:r w:rsidRPr="008F2860">
        <w:rPr>
          <w:rFonts w:ascii="Times New Roman" w:eastAsia="Times New Roman" w:hAnsi="Times New Roman" w:cs="Times New Roman"/>
          <w:b/>
          <w:bCs/>
          <w:sz w:val="36"/>
          <w:szCs w:val="36"/>
        </w:rPr>
        <w:t>Anterior Abdominal Wall Abscess After Appendicectomy</w:t>
      </w:r>
    </w:p>
    <w:p w:rsidR="00F2412E" w:rsidRPr="00F2412E" w:rsidRDefault="00CC1C73" w:rsidP="00CC1C73">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r w:rsidR="00F2412E" w:rsidRPr="00F2412E">
        <w:rPr>
          <w:rFonts w:ascii="Times New Roman" w:eastAsia="Times New Roman" w:hAnsi="Times New Roman" w:cs="Times New Roman"/>
          <w:sz w:val="24"/>
          <w:szCs w:val="24"/>
        </w:rPr>
        <w:t>John Muhenda</w:t>
      </w:r>
    </w:p>
    <w:p w:rsidR="00F2412E" w:rsidRPr="00F2412E" w:rsidRDefault="00F2412E" w:rsidP="00CC1C73">
      <w:pPr>
        <w:spacing w:after="120" w:line="240" w:lineRule="auto"/>
        <w:jc w:val="center"/>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Dr Bata General Military Hospital</w:t>
      </w: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 xml:space="preserve">ABSTRACT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An anterior abdominal wall abscess is a rare complication after appendicectomy. I report a 42-year-old man, who presented with a warm, firm and painful swelling of the abdominal wall extending from the right flank, right iliac fossa up to the midline, all below the umbilicus, three days after appendectomy for appendicitis with gangrenous appendix, perforated appendix at the base with a peri-appendicular intra-peritoneal abscess. Its treatment consisted of pus evacuation, daily dressings, and antibiotic therapy according to the local antibiogram. The surgical care was good with disappearance of fever and wounds cleansing and granulation, which a</w:t>
      </w:r>
      <w:r w:rsidR="00835488">
        <w:rPr>
          <w:rFonts w:ascii="Times New Roman" w:eastAsia="Times New Roman" w:hAnsi="Times New Roman" w:cs="Times New Roman"/>
          <w:sz w:val="24"/>
          <w:szCs w:val="24"/>
        </w:rPr>
        <w:t xml:space="preserve">llowed secondary suture after 15 </w:t>
      </w:r>
      <w:r w:rsidRPr="00F2412E">
        <w:rPr>
          <w:rFonts w:ascii="Times New Roman" w:eastAsia="Times New Roman" w:hAnsi="Times New Roman" w:cs="Times New Roman"/>
          <w:sz w:val="24"/>
          <w:szCs w:val="24"/>
        </w:rPr>
        <w:t>days of wound dressings. Although there was a good final outcome, it increased hospital stay, caused the use of several antibiotics and escalated the financial cost of appendicectomy.</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Key Words</w:t>
      </w:r>
      <w:r w:rsidRPr="00F2412E">
        <w:rPr>
          <w:rFonts w:ascii="Times New Roman" w:eastAsia="Times New Roman" w:hAnsi="Times New Roman" w:cs="Times New Roman"/>
          <w:sz w:val="24"/>
          <w:szCs w:val="24"/>
        </w:rPr>
        <w:t xml:space="preserve">: Anterior Abdominal wall, Appendectomy, </w:t>
      </w: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F2412E" w:rsidRPr="00F2412E" w:rsidRDefault="00CC1C73"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INTRODUCTION</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During the 21st century, the pooled incidence of appendicitis or appendectomy 100 per 100,000 person-years) In North America, the estimated number of cases in 2015 was 378,614. The pooled incidence ranged from 105 in Eastern Europe to 151 in Western Eur</w:t>
      </w:r>
      <w:r w:rsidR="00790FA1">
        <w:rPr>
          <w:rFonts w:ascii="Times New Roman" w:eastAsia="Times New Roman" w:hAnsi="Times New Roman" w:cs="Times New Roman"/>
          <w:sz w:val="24"/>
          <w:szCs w:val="24"/>
        </w:rPr>
        <w:t xml:space="preserve">ope per 100,000 person-years </w:t>
      </w:r>
      <w:sdt>
        <w:sdtPr>
          <w:rPr>
            <w:rFonts w:ascii="Times New Roman" w:eastAsia="Times New Roman" w:hAnsi="Times New Roman" w:cs="Times New Roman"/>
            <w:sz w:val="24"/>
            <w:szCs w:val="24"/>
          </w:rPr>
          <w:id w:val="-210804665"/>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Fer17 \l 1033 </w:instrText>
          </w:r>
          <w:r w:rsidR="00790FA1">
            <w:rPr>
              <w:rFonts w:ascii="Times New Roman" w:eastAsia="Times New Roman" w:hAnsi="Times New Roman" w:cs="Times New Roman"/>
              <w:sz w:val="24"/>
              <w:szCs w:val="24"/>
            </w:rPr>
            <w:fldChar w:fldCharType="separate"/>
          </w:r>
          <w:r w:rsidR="00790FA1" w:rsidRPr="00790FA1">
            <w:rPr>
              <w:rFonts w:ascii="Times New Roman" w:eastAsia="Times New Roman" w:hAnsi="Times New Roman" w:cs="Times New Roman"/>
              <w:noProof/>
              <w:sz w:val="24"/>
              <w:szCs w:val="24"/>
            </w:rPr>
            <w:t>(Ferris, 2017)</w:t>
          </w:r>
          <w:r w:rsidR="00790FA1">
            <w:rPr>
              <w:rFonts w:ascii="Times New Roman" w:eastAsia="Times New Roman" w:hAnsi="Times New Roman" w:cs="Times New Roman"/>
              <w:sz w:val="24"/>
              <w:szCs w:val="24"/>
            </w:rPr>
            <w:fldChar w:fldCharType="end"/>
          </w:r>
        </w:sdtContent>
      </w:sdt>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From 2010 to 2023, appendicitis burden increased across Africa: incident cases rose from 2.45 to 3.73 million, prevalent cases from 92,805 to 141,711, a</w:t>
      </w:r>
      <w:r w:rsidR="00790FA1">
        <w:rPr>
          <w:rFonts w:ascii="Times New Roman" w:eastAsia="Times New Roman" w:hAnsi="Times New Roman" w:cs="Times New Roman"/>
          <w:sz w:val="24"/>
          <w:szCs w:val="24"/>
        </w:rPr>
        <w:t>nd deaths from 3,240 to 3,984</w:t>
      </w:r>
      <w:sdt>
        <w:sdtPr>
          <w:rPr>
            <w:rFonts w:ascii="Times New Roman" w:eastAsia="Times New Roman" w:hAnsi="Times New Roman" w:cs="Times New Roman"/>
            <w:sz w:val="24"/>
            <w:szCs w:val="24"/>
          </w:rPr>
          <w:id w:val="434716061"/>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LiH26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(Li H, 2026)</w:t>
          </w:r>
          <w:r w:rsidR="00790FA1">
            <w:rPr>
              <w:rFonts w:ascii="Times New Roman" w:eastAsia="Times New Roman" w:hAnsi="Times New Roman" w:cs="Times New Roman"/>
              <w:sz w:val="24"/>
              <w:szCs w:val="24"/>
            </w:rPr>
            <w:fldChar w:fldCharType="end"/>
          </w:r>
        </w:sdtContent>
      </w:sdt>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A study done in Uganda in 2023 found that surgical site infection was the commonest complication after </w:t>
      </w:r>
      <w:r w:rsidR="008F2860" w:rsidRPr="00F2412E">
        <w:rPr>
          <w:rFonts w:ascii="Times New Roman" w:eastAsia="Times New Roman" w:hAnsi="Times New Roman" w:cs="Times New Roman"/>
          <w:sz w:val="24"/>
          <w:szCs w:val="24"/>
        </w:rPr>
        <w:t>appendectomy</w:t>
      </w:r>
      <w:r w:rsidRPr="00F2412E">
        <w:rPr>
          <w:rFonts w:ascii="Times New Roman" w:eastAsia="Times New Roman" w:hAnsi="Times New Roman" w:cs="Times New Roman"/>
          <w:sz w:val="24"/>
          <w:szCs w:val="24"/>
        </w:rPr>
        <w:t xml:space="preserve"> for</w:t>
      </w:r>
      <w:r w:rsidR="00790FA1">
        <w:rPr>
          <w:rFonts w:ascii="Times New Roman" w:eastAsia="Times New Roman" w:hAnsi="Times New Roman" w:cs="Times New Roman"/>
          <w:sz w:val="24"/>
          <w:szCs w:val="24"/>
        </w:rPr>
        <w:t xml:space="preserve"> acute appendicitis at 18.6%</w:t>
      </w:r>
      <w:sdt>
        <w:sdtPr>
          <w:rPr>
            <w:rFonts w:ascii="Times New Roman" w:eastAsia="Times New Roman" w:hAnsi="Times New Roman" w:cs="Times New Roman"/>
            <w:sz w:val="24"/>
            <w:szCs w:val="24"/>
          </w:rPr>
          <w:id w:val="-1766141927"/>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Far24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(SY, 2024)</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The same study found that the high rate of complications seen could be attributed to the fact that a high percentage of the patients presented with a perforated appendix, which would have increased the risk of complications. Given that surgical site infection was the most common complication seen in this study, the high rates of perforated appendix could explain the high rates of complications. Also, some of the studies that reported a very low rate of complications had laparoscopic surgery, which has been associated with a lower risk of complications, and this is possible. The rate of postoperative wound infection is determined by intraoperative wound contamination, with rates of infection varying from &lt; 5% in simple appendicitis to 2</w:t>
      </w:r>
      <w:r w:rsidR="00790FA1">
        <w:rPr>
          <w:rFonts w:ascii="Times New Roman" w:eastAsia="Times New Roman" w:hAnsi="Times New Roman" w:cs="Times New Roman"/>
          <w:sz w:val="24"/>
          <w:szCs w:val="24"/>
        </w:rPr>
        <w:t>0% in cases with perforation</w:t>
      </w:r>
      <w:sdt>
        <w:sdtPr>
          <w:rPr>
            <w:rFonts w:ascii="Times New Roman" w:eastAsia="Times New Roman" w:hAnsi="Times New Roman" w:cs="Times New Roman"/>
            <w:sz w:val="24"/>
            <w:szCs w:val="24"/>
          </w:rPr>
          <w:id w:val="2141910461"/>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Hum06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(Humes DJ, 2006)</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xml:space="preserve">.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There is however no case of anterior abdominal wall abscess documented after appendicectomy in Uganda.</w:t>
      </w: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CASE REPORT</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A 42-year-old man was admitted to our hospital for abdominal pain that had occurred for 1 day, was worse in the right iliac fossa, four episodes of non-bilious vomiting, and mild fever. No abdominal distention, is passing stool and flatus.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 xml:space="preserve">Review of systems: </w:t>
      </w:r>
      <w:r w:rsidRPr="00F2412E">
        <w:rPr>
          <w:rFonts w:ascii="Times New Roman" w:eastAsia="Times New Roman" w:hAnsi="Times New Roman" w:cs="Times New Roman"/>
          <w:sz w:val="24"/>
          <w:szCs w:val="24"/>
        </w:rPr>
        <w:t xml:space="preserve">Reports frequent urination, no excessive thirst, weak stream, hesitancy, but no dribbling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Other systems were unremarkable.</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Physical examination</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General exam: He is in fair general condition, afebrile, no jaundice, no pallor, no cyanosis, no oedema, no lymphadenopathy, no dehydration</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Abdominal examination: Abdomen is of normal fullness, has right iliac fossa tenderness, guarding and rebound tenderness. Has supra-pubic tenderness, positive pointing sign and Rovsing's sign, no organomegaly, normal bowel sounds.</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CVS: PR 89 B/min, normal volume, regular. BP 124/64, Normal heart sounds.</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Other systems were unremarkable.</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 xml:space="preserve">Investigations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abdominal ultrasound showed an enlarged appendix, appendicolith and prostatic enlargement(volume 68.11)</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Malaria RDT neg</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CBC WBC 8.17, NEU 7.19 (88%), Hb 14.5, PLT 189</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Patient was treated for Acute appendicitis with IV ceftriaxone, metronidazole, and paracetamol.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Day 2</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Patient found still having generalised abdominal pain , passing loose non-bloody stools, no vomiting.</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Examinanation</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General exam, sick-looking, febrile with a temperature of 37.8.</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Abdominal exam. Mild distention, generalised tenderness, but most severe in the right iliac Fossa with guarding and rebound tenderness</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CVS BP 109/64, PR 120b/min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diagnosis was a possible ruptured appendix with peritonitis.</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plan was to do an emergency appendectomy.</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Investigations</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lastRenderedPageBreak/>
        <w:t>RFT Cr 1.48, Ur 60.5</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Electrolytes Cl 100, Na 138, K 3.7</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LFT DBIL 0.439, others normal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Intra-operative finding</w:t>
      </w:r>
    </w:p>
    <w:p w:rsidR="00F2412E" w:rsidRPr="00F2412E" w:rsidRDefault="00F2412E" w:rsidP="00F2412E">
      <w:pPr>
        <w:numPr>
          <w:ilvl w:val="0"/>
          <w:numId w:val="1"/>
        </w:numPr>
        <w:spacing w:before="120"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Grossly inflamed appendix with a perforation at the base.</w:t>
      </w:r>
    </w:p>
    <w:p w:rsidR="00F2412E" w:rsidRPr="00F2412E" w:rsidRDefault="00F2412E" w:rsidP="00F2412E">
      <w:pPr>
        <w:numPr>
          <w:ilvl w:val="0"/>
          <w:numId w:val="1"/>
        </w:numPr>
        <w:spacing w:before="120"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Pus collection of about 200ml in the peritoneal cavity</w:t>
      </w:r>
    </w:p>
    <w:p w:rsidR="00F2412E" w:rsidRPr="00F2412E" w:rsidRDefault="00F2412E" w:rsidP="00F2412E">
      <w:pPr>
        <w:numPr>
          <w:ilvl w:val="0"/>
          <w:numId w:val="1"/>
        </w:numPr>
        <w:spacing w:before="120"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Appendectomy was done, and the peritoneal cavity was lavaged with about 2 litres of normal saline.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Postoperative care </w:t>
      </w:r>
    </w:p>
    <w:p w:rsidR="00F2412E" w:rsidRPr="00F2412E" w:rsidRDefault="00F2412E" w:rsidP="00F2412E">
      <w:pPr>
        <w:numPr>
          <w:ilvl w:val="0"/>
          <w:numId w:val="2"/>
        </w:numPr>
        <w:spacing w:before="120"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IV ceftriaxone, gentamycin and metronidazole</w:t>
      </w:r>
    </w:p>
    <w:p w:rsidR="00F2412E" w:rsidRPr="00F2412E" w:rsidRDefault="00F2412E" w:rsidP="00F2412E">
      <w:pPr>
        <w:numPr>
          <w:ilvl w:val="0"/>
          <w:numId w:val="2"/>
        </w:numPr>
        <w:spacing w:before="120"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Analgesics </w:t>
      </w:r>
    </w:p>
    <w:p w:rsidR="00F2412E" w:rsidRPr="00F2412E" w:rsidRDefault="00F2412E" w:rsidP="00F2412E">
      <w:pPr>
        <w:numPr>
          <w:ilvl w:val="0"/>
          <w:numId w:val="2"/>
        </w:numPr>
        <w:spacing w:before="120"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Iv fluids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 xml:space="preserve">4th Postoperative Day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patient developed a swelling in the right iliac fossa around the incision site.</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Ultrasound revealed an anterior abdominal wall pus collection in the right iliac fossa.</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Antibiotics were changed to IV levofloxacin and metronidazole.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11th postoperative day</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Swelling had drastically subsided, and the incision site developed a pus-discharging sinus.</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wound was opened, and incision and drainage were done. Wound packed with iodinated gauze.</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IV antibiotics flucamox, levofloxacin and metronidazole</w:t>
      </w:r>
    </w:p>
    <w:p w:rsidR="00F2412E" w:rsidRPr="00F2412E" w:rsidRDefault="00CC1C73" w:rsidP="00F2412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w:t>
      </w:r>
      <w:r w:rsidR="00F2412E" w:rsidRPr="00F2412E">
        <w:rPr>
          <w:rFonts w:ascii="Times New Roman" w:eastAsia="Times New Roman" w:hAnsi="Times New Roman" w:cs="Times New Roman"/>
          <w:b/>
          <w:bCs/>
          <w:sz w:val="24"/>
          <w:szCs w:val="24"/>
        </w:rPr>
        <w:t>th postoperative day</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Secondary closure was done, and the patient was allowed home.</w:t>
      </w: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DISCUSSION</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After appendectomy, Post-operative infections—including superficial and deep surgical site infections (SSI), intra-abdominal abscesses (IAA), and, in severe cases, sepsis—continue to pose a relevant challenge, particularly in com</w:t>
      </w:r>
      <w:r w:rsidR="00790FA1">
        <w:rPr>
          <w:rFonts w:ascii="Times New Roman" w:eastAsia="Times New Roman" w:hAnsi="Times New Roman" w:cs="Times New Roman"/>
          <w:sz w:val="24"/>
          <w:szCs w:val="24"/>
        </w:rPr>
        <w:t>plicated forms of the disease</w:t>
      </w:r>
      <w:sdt>
        <w:sdtPr>
          <w:rPr>
            <w:rFonts w:ascii="Times New Roman" w:eastAsia="Times New Roman" w:hAnsi="Times New Roman" w:cs="Times New Roman"/>
            <w:sz w:val="24"/>
            <w:szCs w:val="24"/>
          </w:rPr>
          <w:id w:val="1490449201"/>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Mar25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(Martinah Lendri, 2025)</w:t>
          </w:r>
          <w:r w:rsidR="00790FA1">
            <w:rPr>
              <w:rFonts w:ascii="Times New Roman" w:eastAsia="Times New Roman" w:hAnsi="Times New Roman" w:cs="Times New Roman"/>
              <w:sz w:val="24"/>
              <w:szCs w:val="24"/>
            </w:rPr>
            <w:fldChar w:fldCharType="end"/>
          </w:r>
        </w:sdtContent>
      </w:sdt>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appendectomy can be complicated regardless of the anatomopathological forms of the appendix in acute appendicitis, even in the absence of sign</w:t>
      </w:r>
      <w:r w:rsidR="00790FA1">
        <w:rPr>
          <w:rFonts w:ascii="Times New Roman" w:eastAsia="Times New Roman" w:hAnsi="Times New Roman" w:cs="Times New Roman"/>
          <w:sz w:val="24"/>
          <w:szCs w:val="24"/>
        </w:rPr>
        <w:t>ificant surgical difficulties</w:t>
      </w:r>
      <w:sdt>
        <w:sdtPr>
          <w:rPr>
            <w:rFonts w:ascii="Times New Roman" w:eastAsia="Times New Roman" w:hAnsi="Times New Roman" w:cs="Times New Roman"/>
            <w:sz w:val="24"/>
            <w:szCs w:val="24"/>
          </w:rPr>
          <w:id w:val="678618278"/>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Meh04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(Mehinto DK, 2004)</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xml:space="preserve">.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However, postoperative complications are even more common if </w:t>
      </w:r>
      <w:r w:rsidR="00790FA1">
        <w:rPr>
          <w:rFonts w:ascii="Times New Roman" w:eastAsia="Times New Roman" w:hAnsi="Times New Roman" w:cs="Times New Roman"/>
          <w:sz w:val="24"/>
          <w:szCs w:val="24"/>
        </w:rPr>
        <w:t>appendicitis is complicated</w:t>
      </w:r>
      <w:sdt>
        <w:sdtPr>
          <w:rPr>
            <w:rFonts w:ascii="Times New Roman" w:eastAsia="Times New Roman" w:hAnsi="Times New Roman" w:cs="Times New Roman"/>
            <w:sz w:val="24"/>
            <w:szCs w:val="24"/>
          </w:rPr>
          <w:id w:val="-1365360392"/>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Pis01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(Piskun G, 2001)</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These complications are dominated by parietal i</w:t>
      </w:r>
      <w:r w:rsidR="00790FA1">
        <w:rPr>
          <w:rFonts w:ascii="Times New Roman" w:eastAsia="Times New Roman" w:hAnsi="Times New Roman" w:cs="Times New Roman"/>
          <w:sz w:val="24"/>
          <w:szCs w:val="24"/>
        </w:rPr>
        <w:t xml:space="preserve">nfections </w:t>
      </w:r>
      <w:sdt>
        <w:sdtPr>
          <w:rPr>
            <w:rFonts w:ascii="Times New Roman" w:eastAsia="Times New Roman" w:hAnsi="Times New Roman" w:cs="Times New Roman"/>
            <w:sz w:val="24"/>
            <w:szCs w:val="24"/>
          </w:rPr>
          <w:id w:val="1733879817"/>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Meh04 \l 1033 </w:instrText>
          </w:r>
          <w:r w:rsidR="00790FA1">
            <w:rPr>
              <w:rFonts w:ascii="Times New Roman" w:eastAsia="Times New Roman" w:hAnsi="Times New Roman" w:cs="Times New Roman"/>
              <w:sz w:val="24"/>
              <w:szCs w:val="24"/>
            </w:rPr>
            <w:fldChar w:fldCharType="separate"/>
          </w:r>
          <w:r w:rsidR="00790FA1" w:rsidRPr="00790FA1">
            <w:rPr>
              <w:rFonts w:ascii="Times New Roman" w:eastAsia="Times New Roman" w:hAnsi="Times New Roman" w:cs="Times New Roman"/>
              <w:noProof/>
              <w:sz w:val="24"/>
              <w:szCs w:val="24"/>
            </w:rPr>
            <w:t>(Mehinto DK, 2004)</w:t>
          </w:r>
          <w:r w:rsidR="00790FA1">
            <w:rPr>
              <w:rFonts w:ascii="Times New Roman" w:eastAsia="Times New Roman" w:hAnsi="Times New Roman" w:cs="Times New Roman"/>
              <w:sz w:val="24"/>
              <w:szCs w:val="24"/>
            </w:rPr>
            <w:fldChar w:fldCharType="end"/>
          </w:r>
        </w:sdtContent>
      </w:sdt>
      <w:sdt>
        <w:sdtPr>
          <w:rPr>
            <w:rFonts w:ascii="Times New Roman" w:eastAsia="Times New Roman" w:hAnsi="Times New Roman" w:cs="Times New Roman"/>
            <w:sz w:val="24"/>
            <w:szCs w:val="24"/>
          </w:rPr>
          <w:id w:val="1171448929"/>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Pis01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(Piskun G, 2001)</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the occurrence of which depends either on an appendectomy performed under poor aseptic conditi</w:t>
      </w:r>
      <w:r w:rsidR="00790FA1">
        <w:rPr>
          <w:rFonts w:ascii="Times New Roman" w:eastAsia="Times New Roman" w:hAnsi="Times New Roman" w:cs="Times New Roman"/>
          <w:sz w:val="24"/>
          <w:szCs w:val="24"/>
        </w:rPr>
        <w:t>ons by an untrained operator</w:t>
      </w:r>
      <w:sdt>
        <w:sdtPr>
          <w:rPr>
            <w:rFonts w:ascii="Times New Roman" w:eastAsia="Times New Roman" w:hAnsi="Times New Roman" w:cs="Times New Roman"/>
            <w:sz w:val="24"/>
            <w:szCs w:val="24"/>
          </w:rPr>
          <w:id w:val="-914397115"/>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Far05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(Farthouat P, 2005)</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however, this was not the case with our patient. Endogenous factors related to the patient and his pathological history, such as age greater than 45years, presence of hypertension, duration of symptoms greater than 3days at presentation, Alvarado score of 7–10, HIV, presence of anemia and having a perforated appendix, are associated with high occurrence of post op c</w:t>
      </w:r>
      <w:r w:rsidR="00790FA1">
        <w:rPr>
          <w:rFonts w:ascii="Times New Roman" w:eastAsia="Times New Roman" w:hAnsi="Times New Roman" w:cs="Times New Roman"/>
          <w:sz w:val="24"/>
          <w:szCs w:val="24"/>
        </w:rPr>
        <w:t>omplications, especially SSI</w:t>
      </w:r>
      <w:sdt>
        <w:sdtPr>
          <w:rPr>
            <w:rFonts w:ascii="Times New Roman" w:eastAsia="Times New Roman" w:hAnsi="Times New Roman" w:cs="Times New Roman"/>
            <w:sz w:val="24"/>
            <w:szCs w:val="24"/>
          </w:rPr>
          <w:id w:val="-2138628171"/>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Far24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(SY, 2024)</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xml:space="preserve">. Our patient had a perforated appendix, with peritoneal pus collection putting him at risk of SSI. </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 xml:space="preserve">Most authors do not necessarily specify the extent of abdominal wall suppuration or the amount of evacuated pus. In our case, suppuration was localized to the right iliac fossa with evacuation of about 200ml of pus on the first day. The area was surrounded by inflamed soft tissues. </w:t>
      </w:r>
    </w:p>
    <w:p w:rsidR="00F2412E" w:rsidRPr="00F2412E" w:rsidRDefault="00790FA1" w:rsidP="00F2412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authors </w:t>
      </w:r>
      <w:r w:rsidR="00F2412E" w:rsidRPr="00F2412E">
        <w:rPr>
          <w:rFonts w:ascii="Times New Roman" w:eastAsia="Times New Roman" w:hAnsi="Times New Roman" w:cs="Times New Roman"/>
          <w:sz w:val="24"/>
          <w:szCs w:val="24"/>
        </w:rPr>
        <w:t xml:space="preserve">have shown that laparoscopic appendectomy is less complicated with wall infections than laparotomy. Despite the technical and economic constraints associated with laparoscopic surgery, this approach is </w:t>
      </w:r>
      <w:r>
        <w:rPr>
          <w:rFonts w:ascii="Times New Roman" w:eastAsia="Times New Roman" w:hAnsi="Times New Roman" w:cs="Times New Roman"/>
          <w:sz w:val="24"/>
          <w:szCs w:val="24"/>
        </w:rPr>
        <w:t>rapidly developing in Africa</w:t>
      </w:r>
      <w:sdt>
        <w:sdtPr>
          <w:rPr>
            <w:rFonts w:ascii="Times New Roman" w:eastAsia="Times New Roman" w:hAnsi="Times New Roman" w:cs="Times New Roman"/>
            <w:sz w:val="24"/>
            <w:szCs w:val="24"/>
          </w:rPr>
          <w:id w:val="-1898883501"/>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Pat03 \l 1033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790FA1">
            <w:rPr>
              <w:rFonts w:ascii="Times New Roman" w:eastAsia="Times New Roman" w:hAnsi="Times New Roman" w:cs="Times New Roman"/>
              <w:noProof/>
              <w:sz w:val="24"/>
              <w:szCs w:val="24"/>
            </w:rPr>
            <w:t>(SC, 2003)</w:t>
          </w:r>
          <w:r>
            <w:rPr>
              <w:rFonts w:ascii="Times New Roman" w:eastAsia="Times New Roman" w:hAnsi="Times New Roman" w:cs="Times New Roman"/>
              <w:sz w:val="24"/>
              <w:szCs w:val="24"/>
            </w:rPr>
            <w:fldChar w:fldCharType="end"/>
          </w:r>
        </w:sdtContent>
      </w:sdt>
      <w:r w:rsidR="00F2412E" w:rsidRPr="00F2412E">
        <w:rPr>
          <w:rFonts w:ascii="Times New Roman" w:eastAsia="Times New Roman" w:hAnsi="Times New Roman" w:cs="Times New Roman"/>
          <w:sz w:val="24"/>
          <w:szCs w:val="24"/>
        </w:rPr>
        <w:t xml:space="preserve">. In addition to its other known advantages, such as reduction in postoperative pain, aesthetic damage, duration of hospitalization, </w:t>
      </w:r>
      <w:r>
        <w:rPr>
          <w:rFonts w:ascii="Times New Roman" w:eastAsia="Times New Roman" w:hAnsi="Times New Roman" w:cs="Times New Roman"/>
          <w:sz w:val="24"/>
          <w:szCs w:val="24"/>
        </w:rPr>
        <w:t xml:space="preserve">faster recovery of activity </w:t>
      </w:r>
      <w:sdt>
        <w:sdtPr>
          <w:rPr>
            <w:rFonts w:ascii="Times New Roman" w:eastAsia="Times New Roman" w:hAnsi="Times New Roman" w:cs="Times New Roman"/>
            <w:sz w:val="24"/>
            <w:szCs w:val="24"/>
          </w:rPr>
          <w:id w:val="-880558985"/>
          <w:citation/>
        </w:sdt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Beg06 \l 1033 </w:instrText>
          </w:r>
          <w:r>
            <w:rPr>
              <w:rFonts w:ascii="Times New Roman" w:eastAsia="Times New Roman" w:hAnsi="Times New Roman" w:cs="Times New Roman"/>
              <w:sz w:val="24"/>
              <w:szCs w:val="24"/>
            </w:rPr>
            <w:fldChar w:fldCharType="separate"/>
          </w:r>
          <w:r w:rsidRPr="00790FA1">
            <w:rPr>
              <w:rFonts w:ascii="Times New Roman" w:eastAsia="Times New Roman" w:hAnsi="Times New Roman" w:cs="Times New Roman"/>
              <w:noProof/>
              <w:sz w:val="24"/>
              <w:szCs w:val="24"/>
            </w:rPr>
            <w:t>(Begin GF, 2006)</w:t>
          </w:r>
          <w:r>
            <w:rPr>
              <w:rFonts w:ascii="Times New Roman" w:eastAsia="Times New Roman" w:hAnsi="Times New Roman" w:cs="Times New Roman"/>
              <w:sz w:val="24"/>
              <w:szCs w:val="24"/>
            </w:rPr>
            <w:fldChar w:fldCharType="end"/>
          </w:r>
        </w:sdtContent>
      </w:sdt>
      <w:r w:rsidR="00F2412E" w:rsidRPr="00F2412E">
        <w:rPr>
          <w:rFonts w:ascii="Times New Roman" w:eastAsia="Times New Roman" w:hAnsi="Times New Roman" w:cs="Times New Roman"/>
          <w:sz w:val="24"/>
          <w:szCs w:val="24"/>
        </w:rPr>
        <w:t>, it is possible to further reduce the postoperative complications, such as parietal infection after appendectomies in our workplace.</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In superficial abscesses and pyomyositis, Staphylococcus aureus is the most frequently affected germ. Streptococci, gram negative bacilli and my</w:t>
      </w:r>
      <w:r w:rsidR="00790FA1">
        <w:rPr>
          <w:rFonts w:ascii="Times New Roman" w:eastAsia="Times New Roman" w:hAnsi="Times New Roman" w:cs="Times New Roman"/>
          <w:sz w:val="24"/>
          <w:szCs w:val="24"/>
        </w:rPr>
        <w:t>cobacteria can also be found</w:t>
      </w:r>
      <w:sdt>
        <w:sdtPr>
          <w:rPr>
            <w:rFonts w:ascii="Times New Roman" w:eastAsia="Times New Roman" w:hAnsi="Times New Roman" w:cs="Times New Roman"/>
            <w:sz w:val="24"/>
            <w:szCs w:val="24"/>
          </w:rPr>
          <w:id w:val="-1877151700"/>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And03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(BR, 2003)</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In our patient, culture and sensitivity studies were not done, empiric treatment was instituted following local antibiograms, and the patient greatly improved.</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The patient was dressed with iodinated guaze, which allowed a perfe</w:t>
      </w:r>
      <w:r w:rsidR="00790FA1">
        <w:rPr>
          <w:rFonts w:ascii="Times New Roman" w:eastAsia="Times New Roman" w:hAnsi="Times New Roman" w:cs="Times New Roman"/>
          <w:sz w:val="24"/>
          <w:szCs w:val="24"/>
        </w:rPr>
        <w:t xml:space="preserve">ct cleansing of wounds after 15 </w:t>
      </w:r>
      <w:r w:rsidRPr="00F2412E">
        <w:rPr>
          <w:rFonts w:ascii="Times New Roman" w:eastAsia="Times New Roman" w:hAnsi="Times New Roman" w:cs="Times New Roman"/>
          <w:sz w:val="24"/>
          <w:szCs w:val="24"/>
        </w:rPr>
        <w:t>days. The mean duration of hospital stay is 7-8 days for an uncomplicated appendectomy and 21 days for parietal suppuration post</w:t>
      </w:r>
      <w:r w:rsidR="00790FA1">
        <w:rPr>
          <w:rFonts w:ascii="Times New Roman" w:eastAsia="Times New Roman" w:hAnsi="Times New Roman" w:cs="Times New Roman"/>
          <w:sz w:val="24"/>
          <w:szCs w:val="24"/>
        </w:rPr>
        <w:t>appendicectomy</w:t>
      </w:r>
      <w:sdt>
        <w:sdtPr>
          <w:rPr>
            <w:rFonts w:ascii="Times New Roman" w:eastAsia="Times New Roman" w:hAnsi="Times New Roman" w:cs="Times New Roman"/>
            <w:sz w:val="24"/>
            <w:szCs w:val="24"/>
          </w:rPr>
          <w:id w:val="108553148"/>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Far05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(Farthouat P, 2005)</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Which represents a significant lengthening of hospital stay in case of parietal infection. This situation leads to an increase in the financial cost of the treatment of appendectomy, a shortfall for the patient and his entourage, especially in Africa, where a large part of the populati</w:t>
      </w:r>
      <w:r w:rsidR="00790FA1">
        <w:rPr>
          <w:rFonts w:ascii="Times New Roman" w:eastAsia="Times New Roman" w:hAnsi="Times New Roman" w:cs="Times New Roman"/>
          <w:sz w:val="24"/>
          <w:szCs w:val="24"/>
        </w:rPr>
        <w:t>on does not have health care</w:t>
      </w:r>
      <w:sdt>
        <w:sdtPr>
          <w:rPr>
            <w:rFonts w:ascii="Times New Roman" w:eastAsia="Times New Roman" w:hAnsi="Times New Roman" w:cs="Times New Roman"/>
            <w:sz w:val="24"/>
            <w:szCs w:val="24"/>
          </w:rPr>
          <w:id w:val="1961303237"/>
          <w:citation/>
        </w:sdtPr>
        <w:sdtContent>
          <w:r w:rsidR="00790FA1">
            <w:rPr>
              <w:rFonts w:ascii="Times New Roman" w:eastAsia="Times New Roman" w:hAnsi="Times New Roman" w:cs="Times New Roman"/>
              <w:sz w:val="24"/>
              <w:szCs w:val="24"/>
            </w:rPr>
            <w:fldChar w:fldCharType="begin"/>
          </w:r>
          <w:r w:rsidR="00790FA1">
            <w:rPr>
              <w:rFonts w:ascii="Times New Roman" w:eastAsia="Times New Roman" w:hAnsi="Times New Roman" w:cs="Times New Roman"/>
              <w:sz w:val="24"/>
              <w:szCs w:val="24"/>
            </w:rPr>
            <w:instrText xml:space="preserve"> CITATION Meh04 \l 1033 </w:instrText>
          </w:r>
          <w:r w:rsidR="00790FA1">
            <w:rPr>
              <w:rFonts w:ascii="Times New Roman" w:eastAsia="Times New Roman" w:hAnsi="Times New Roman" w:cs="Times New Roman"/>
              <w:sz w:val="24"/>
              <w:szCs w:val="24"/>
            </w:rPr>
            <w:fldChar w:fldCharType="separate"/>
          </w:r>
          <w:r w:rsidR="00790FA1">
            <w:rPr>
              <w:rFonts w:ascii="Times New Roman" w:eastAsia="Times New Roman" w:hAnsi="Times New Roman" w:cs="Times New Roman"/>
              <w:noProof/>
              <w:sz w:val="24"/>
              <w:szCs w:val="24"/>
            </w:rPr>
            <w:t xml:space="preserve"> </w:t>
          </w:r>
          <w:r w:rsidR="00790FA1" w:rsidRPr="00790FA1">
            <w:rPr>
              <w:rFonts w:ascii="Times New Roman" w:eastAsia="Times New Roman" w:hAnsi="Times New Roman" w:cs="Times New Roman"/>
              <w:noProof/>
              <w:sz w:val="24"/>
              <w:szCs w:val="24"/>
            </w:rPr>
            <w:t>(Mehinto DK, 2004)</w:t>
          </w:r>
          <w:r w:rsidR="00790FA1">
            <w:rPr>
              <w:rFonts w:ascii="Times New Roman" w:eastAsia="Times New Roman" w:hAnsi="Times New Roman" w:cs="Times New Roman"/>
              <w:sz w:val="24"/>
              <w:szCs w:val="24"/>
            </w:rPr>
            <w:fldChar w:fldCharType="end"/>
          </w:r>
        </w:sdtContent>
      </w:sdt>
      <w:r w:rsidRPr="00F2412E">
        <w:rPr>
          <w:rFonts w:ascii="Times New Roman" w:eastAsia="Times New Roman" w:hAnsi="Times New Roman" w:cs="Times New Roman"/>
          <w:sz w:val="24"/>
          <w:szCs w:val="24"/>
        </w:rPr>
        <w:t>. This was the case of our patient who had to</w:t>
      </w:r>
      <w:r w:rsidR="00790FA1">
        <w:rPr>
          <w:rFonts w:ascii="Times New Roman" w:eastAsia="Times New Roman" w:hAnsi="Times New Roman" w:cs="Times New Roman"/>
          <w:sz w:val="24"/>
          <w:szCs w:val="24"/>
        </w:rPr>
        <w:t xml:space="preserve"> remain in the hospital for 15 </w:t>
      </w:r>
      <w:r w:rsidRPr="00F2412E">
        <w:rPr>
          <w:rFonts w:ascii="Times New Roman" w:eastAsia="Times New Roman" w:hAnsi="Times New Roman" w:cs="Times New Roman"/>
          <w:sz w:val="24"/>
          <w:szCs w:val="24"/>
        </w:rPr>
        <w:t>days.</w:t>
      </w: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CC1C73" w:rsidRDefault="00CC1C73" w:rsidP="00F2412E">
      <w:pPr>
        <w:spacing w:after="120" w:line="240" w:lineRule="auto"/>
        <w:rPr>
          <w:rFonts w:ascii="Times New Roman" w:eastAsia="Times New Roman" w:hAnsi="Times New Roman" w:cs="Times New Roman"/>
          <w:b/>
          <w:bCs/>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b/>
          <w:bCs/>
          <w:sz w:val="24"/>
          <w:szCs w:val="24"/>
        </w:rPr>
        <w:t>CONCLUSION</w:t>
      </w:r>
    </w:p>
    <w:p w:rsidR="00F2412E" w:rsidRPr="00F2412E" w:rsidRDefault="00F2412E" w:rsidP="00F2412E">
      <w:pPr>
        <w:spacing w:after="120" w:line="240" w:lineRule="auto"/>
        <w:rPr>
          <w:rFonts w:ascii="Times New Roman" w:eastAsia="Times New Roman" w:hAnsi="Times New Roman" w:cs="Times New Roman"/>
          <w:sz w:val="24"/>
          <w:szCs w:val="24"/>
        </w:rPr>
      </w:pPr>
      <w:r w:rsidRPr="00F2412E">
        <w:rPr>
          <w:rFonts w:ascii="Times New Roman" w:eastAsia="Times New Roman" w:hAnsi="Times New Roman" w:cs="Times New Roman"/>
          <w:sz w:val="24"/>
          <w:szCs w:val="24"/>
        </w:rPr>
        <w:t>An anterior abdominal wall abscess complicating appendicectomy is less commonly reported. It increases the hospital journey and the financial cost of appendectomy. Adequate treatment results in healing. The routine practice of laparoscopic appendectomy in Africa would further reduce this complication.</w:t>
      </w:r>
    </w:p>
    <w:p w:rsidR="00F2412E" w:rsidRPr="00F2412E" w:rsidRDefault="00F2412E" w:rsidP="00F2412E">
      <w:pPr>
        <w:spacing w:after="120" w:line="240" w:lineRule="auto"/>
        <w:rPr>
          <w:rFonts w:ascii="Times New Roman" w:eastAsia="Times New Roman" w:hAnsi="Times New Roman" w:cs="Times New Roman"/>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p>
    <w:p w:rsidR="00F2412E" w:rsidRPr="00F2412E" w:rsidRDefault="00F2412E" w:rsidP="00F2412E">
      <w:pPr>
        <w:spacing w:after="120" w:line="240" w:lineRule="auto"/>
        <w:rPr>
          <w:rFonts w:ascii="Times New Roman" w:eastAsia="Times New Roman" w:hAnsi="Times New Roman" w:cs="Times New Roman"/>
          <w:sz w:val="24"/>
          <w:szCs w:val="24"/>
        </w:rPr>
      </w:pPr>
    </w:p>
    <w:p w:rsidR="00F2412E" w:rsidRDefault="00F2412E"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p w:rsidR="00CC1C73" w:rsidRDefault="00CC1C73" w:rsidP="00F2412E">
      <w:pPr>
        <w:spacing w:after="120" w:line="240" w:lineRule="auto"/>
        <w:rPr>
          <w:rFonts w:ascii="Times New Roman" w:eastAsia="Times New Roman" w:hAnsi="Times New Roman" w:cs="Times New Roman"/>
          <w:sz w:val="24"/>
          <w:szCs w:val="24"/>
        </w:rPr>
      </w:pPr>
    </w:p>
    <w:sdt>
      <w:sdtPr>
        <w:id w:val="1459380548"/>
        <w:docPartObj>
          <w:docPartGallery w:val="Bibliographies"/>
          <w:docPartUnique/>
        </w:docPartObj>
      </w:sdtPr>
      <w:sdtEndPr>
        <w:rPr>
          <w:rFonts w:asciiTheme="minorHAnsi" w:eastAsiaTheme="minorHAnsi" w:hAnsiTheme="minorHAnsi" w:cstheme="minorBidi"/>
          <w:color w:val="auto"/>
          <w:sz w:val="22"/>
          <w:szCs w:val="22"/>
        </w:rPr>
      </w:sdtEndPr>
      <w:sdtContent>
        <w:p w:rsidR="00790FA1" w:rsidRDefault="00790FA1">
          <w:pPr>
            <w:pStyle w:val="Heading1"/>
          </w:pPr>
          <w:r>
            <w:t>References</w:t>
          </w:r>
        </w:p>
        <w:sdt>
          <w:sdtPr>
            <w:id w:val="-573587230"/>
            <w:bibliography/>
          </w:sdtPr>
          <w:sdtContent>
            <w:p w:rsidR="00790FA1" w:rsidRDefault="00790FA1" w:rsidP="00790FA1">
              <w:pPr>
                <w:pStyle w:val="Bibliography"/>
                <w:ind w:left="720" w:hanging="720"/>
                <w:rPr>
                  <w:noProof/>
                  <w:sz w:val="24"/>
                  <w:szCs w:val="24"/>
                </w:rPr>
              </w:pPr>
              <w:r>
                <w:fldChar w:fldCharType="begin"/>
              </w:r>
              <w:r>
                <w:instrText xml:space="preserve"> BIBLIOGRAPHY </w:instrText>
              </w:r>
              <w:r>
                <w:fldChar w:fldCharType="separate"/>
              </w:r>
              <w:r>
                <w:rPr>
                  <w:noProof/>
                </w:rPr>
                <w:t xml:space="preserve">Begin GF. (2006). </w:t>
              </w:r>
              <w:r>
                <w:rPr>
                  <w:i/>
                  <w:iCs/>
                  <w:noProof/>
                </w:rPr>
                <w:t>Appendicectomie laparoscopique.</w:t>
              </w:r>
              <w:r>
                <w:rPr>
                  <w:noProof/>
                </w:rPr>
                <w:t xml:space="preserve"> Encycl Med Chir.</w:t>
              </w:r>
            </w:p>
            <w:p w:rsidR="00790FA1" w:rsidRDefault="00790FA1" w:rsidP="00790FA1">
              <w:pPr>
                <w:pStyle w:val="Bibliography"/>
                <w:ind w:left="720" w:hanging="720"/>
                <w:rPr>
                  <w:noProof/>
                </w:rPr>
              </w:pPr>
              <w:r>
                <w:rPr>
                  <w:noProof/>
                </w:rPr>
                <w:t xml:space="preserve">BR, A. (2003). </w:t>
              </w:r>
              <w:r>
                <w:rPr>
                  <w:i/>
                  <w:iCs/>
                  <w:noProof/>
                </w:rPr>
                <w:t>Antibiotics versus placebo for prevention of postoperative infection after appendectomy.</w:t>
              </w:r>
              <w:r>
                <w:rPr>
                  <w:noProof/>
                </w:rPr>
                <w:t xml:space="preserve"> Cochrane Database Syst. Rev .</w:t>
              </w:r>
            </w:p>
            <w:p w:rsidR="00790FA1" w:rsidRDefault="00790FA1" w:rsidP="00790FA1">
              <w:pPr>
                <w:pStyle w:val="Bibliography"/>
                <w:ind w:left="720" w:hanging="720"/>
                <w:rPr>
                  <w:noProof/>
                </w:rPr>
              </w:pPr>
              <w:r>
                <w:rPr>
                  <w:noProof/>
                </w:rPr>
                <w:t xml:space="preserve">CH, L. (2003). </w:t>
              </w:r>
              <w:r>
                <w:rPr>
                  <w:i/>
                  <w:iCs/>
                  <w:noProof/>
                </w:rPr>
                <w:t>Laparoscopic appendicectomy versus open appendicectomy in children: another opinion.</w:t>
              </w:r>
              <w:r>
                <w:rPr>
                  <w:noProof/>
                </w:rPr>
                <w:t xml:space="preserve"> Int Surg.</w:t>
              </w:r>
            </w:p>
            <w:p w:rsidR="00790FA1" w:rsidRDefault="00790FA1" w:rsidP="00790FA1">
              <w:pPr>
                <w:pStyle w:val="Bibliography"/>
                <w:ind w:left="720" w:hanging="720"/>
                <w:rPr>
                  <w:noProof/>
                </w:rPr>
              </w:pPr>
              <w:r>
                <w:rPr>
                  <w:noProof/>
                </w:rPr>
                <w:t xml:space="preserve">Farthouat P. (2005). </w:t>
              </w:r>
              <w:r>
                <w:rPr>
                  <w:i/>
                  <w:iCs/>
                  <w:noProof/>
                </w:rPr>
                <w:t>Appendicectomies en milieu tropical : étude prospective à l’hôpital principal de Dakar.</w:t>
              </w:r>
              <w:r>
                <w:rPr>
                  <w:noProof/>
                </w:rPr>
                <w:t xml:space="preserve"> Med Trop.</w:t>
              </w:r>
            </w:p>
            <w:p w:rsidR="00790FA1" w:rsidRDefault="00790FA1" w:rsidP="00790FA1">
              <w:pPr>
                <w:pStyle w:val="Bibliography"/>
                <w:ind w:left="720" w:hanging="720"/>
                <w:rPr>
                  <w:noProof/>
                </w:rPr>
              </w:pPr>
              <w:r>
                <w:rPr>
                  <w:noProof/>
                </w:rPr>
                <w:t xml:space="preserve">Ferris. (2017). </w:t>
              </w:r>
              <w:r>
                <w:rPr>
                  <w:i/>
                  <w:iCs/>
                  <w:noProof/>
                </w:rPr>
                <w:t>The Global Incidence of Appendicitis: A Systematic Review of Population-based Studies.</w:t>
              </w:r>
              <w:r>
                <w:rPr>
                  <w:noProof/>
                </w:rPr>
                <w:t xml:space="preserve"> Annals Of Surgery.</w:t>
              </w:r>
            </w:p>
            <w:p w:rsidR="00790FA1" w:rsidRDefault="00790FA1" w:rsidP="00790FA1">
              <w:pPr>
                <w:pStyle w:val="Bibliography"/>
                <w:ind w:left="720" w:hanging="720"/>
                <w:rPr>
                  <w:noProof/>
                </w:rPr>
              </w:pPr>
              <w:r>
                <w:rPr>
                  <w:noProof/>
                </w:rPr>
                <w:t xml:space="preserve">Humes DJ. (2006). </w:t>
              </w:r>
              <w:r>
                <w:rPr>
                  <w:i/>
                  <w:iCs/>
                  <w:noProof/>
                </w:rPr>
                <w:t>Acute Appendicitis.</w:t>
              </w:r>
              <w:r>
                <w:rPr>
                  <w:noProof/>
                </w:rPr>
                <w:t xml:space="preserve"> BMJ.</w:t>
              </w:r>
            </w:p>
            <w:p w:rsidR="00790FA1" w:rsidRDefault="00790FA1" w:rsidP="00790FA1">
              <w:pPr>
                <w:pStyle w:val="Bibliography"/>
                <w:ind w:left="720" w:hanging="720"/>
                <w:rPr>
                  <w:noProof/>
                </w:rPr>
              </w:pPr>
              <w:r>
                <w:rPr>
                  <w:noProof/>
                </w:rPr>
                <w:t xml:space="preserve">Lee CH. (2003). Laparoscopic appendicectomy Vs Open Appendicectomy. </w:t>
              </w:r>
              <w:r>
                <w:rPr>
                  <w:i/>
                  <w:iCs/>
                  <w:noProof/>
                </w:rPr>
                <w:t>Int Surg</w:t>
              </w:r>
              <w:r>
                <w:rPr>
                  <w:noProof/>
                </w:rPr>
                <w:t>, 92-4.</w:t>
              </w:r>
            </w:p>
            <w:p w:rsidR="00790FA1" w:rsidRDefault="00790FA1" w:rsidP="00790FA1">
              <w:pPr>
                <w:pStyle w:val="Bibliography"/>
                <w:ind w:left="720" w:hanging="720"/>
                <w:rPr>
                  <w:noProof/>
                </w:rPr>
              </w:pPr>
              <w:r>
                <w:rPr>
                  <w:noProof/>
                </w:rPr>
                <w:t xml:space="preserve">Li H. (2026). </w:t>
              </w:r>
              <w:r>
                <w:rPr>
                  <w:i/>
                  <w:iCs/>
                  <w:noProof/>
                </w:rPr>
                <w:t>Appendicitis burden in Africa, 2010-2023: temporal trends, pandemic-era deviations, and projections to 2030.</w:t>
              </w:r>
              <w:r>
                <w:rPr>
                  <w:noProof/>
                </w:rPr>
                <w:t xml:space="preserve"> Trop Med Health.</w:t>
              </w:r>
            </w:p>
            <w:p w:rsidR="00790FA1" w:rsidRDefault="00790FA1" w:rsidP="00790FA1">
              <w:pPr>
                <w:pStyle w:val="Bibliography"/>
                <w:ind w:left="720" w:hanging="720"/>
                <w:rPr>
                  <w:noProof/>
                </w:rPr>
              </w:pPr>
              <w:r>
                <w:rPr>
                  <w:noProof/>
                </w:rPr>
                <w:t xml:space="preserve">Martinah Lendri. (2025). </w:t>
              </w:r>
              <w:r>
                <w:rPr>
                  <w:i/>
                  <w:iCs/>
                  <w:noProof/>
                </w:rPr>
                <w:t>Post operative infections after Appendectomy for acute appendicitis:The surgeon's checklist.</w:t>
              </w:r>
              <w:r>
                <w:rPr>
                  <w:noProof/>
                </w:rPr>
                <w:t xml:space="preserve"> Antibiotics.</w:t>
              </w:r>
            </w:p>
            <w:p w:rsidR="00790FA1" w:rsidRDefault="00790FA1" w:rsidP="00790FA1">
              <w:pPr>
                <w:pStyle w:val="Bibliography"/>
                <w:ind w:left="720" w:hanging="720"/>
                <w:rPr>
                  <w:noProof/>
                </w:rPr>
              </w:pPr>
              <w:r>
                <w:rPr>
                  <w:noProof/>
                </w:rPr>
                <w:t xml:space="preserve">Mehinto DK. (2004). </w:t>
              </w:r>
              <w:r>
                <w:rPr>
                  <w:i/>
                  <w:iCs/>
                  <w:noProof/>
                </w:rPr>
                <w:t>Les complications d'appendicectomie pour appendicite aiguë chez l'adulte au Centre National Hospitalier et Universitaire (CHNU) de Cotonou.</w:t>
              </w:r>
              <w:r>
                <w:rPr>
                  <w:noProof/>
                </w:rPr>
                <w:t xml:space="preserve"> Med Afr Noire.</w:t>
              </w:r>
            </w:p>
            <w:p w:rsidR="00790FA1" w:rsidRDefault="00790FA1" w:rsidP="00790FA1">
              <w:pPr>
                <w:pStyle w:val="Bibliography"/>
                <w:ind w:left="720" w:hanging="720"/>
                <w:rPr>
                  <w:noProof/>
                </w:rPr>
              </w:pPr>
              <w:r>
                <w:rPr>
                  <w:noProof/>
                </w:rPr>
                <w:t xml:space="preserve">Piskun G. (2001). </w:t>
              </w:r>
              <w:r>
                <w:rPr>
                  <w:i/>
                  <w:iCs/>
                  <w:noProof/>
                </w:rPr>
                <w:t>Comparison of laparoscopic, open, and converted appendectomy for perforated appendicitis.</w:t>
              </w:r>
              <w:r>
                <w:rPr>
                  <w:noProof/>
                </w:rPr>
                <w:t xml:space="preserve"> Am Endosc.</w:t>
              </w:r>
            </w:p>
            <w:p w:rsidR="00790FA1" w:rsidRDefault="00790FA1" w:rsidP="00790FA1">
              <w:pPr>
                <w:pStyle w:val="Bibliography"/>
                <w:ind w:left="720" w:hanging="720"/>
                <w:rPr>
                  <w:noProof/>
                </w:rPr>
              </w:pPr>
              <w:r>
                <w:rPr>
                  <w:noProof/>
                </w:rPr>
                <w:t xml:space="preserve">SC, P. (2003). </w:t>
              </w:r>
              <w:r>
                <w:rPr>
                  <w:i/>
                  <w:iCs/>
                  <w:noProof/>
                </w:rPr>
                <w:t>Laparoscopic appendicectomy at the Aga Khan Hospital, Nairobi.</w:t>
              </w:r>
              <w:r>
                <w:rPr>
                  <w:noProof/>
                </w:rPr>
                <w:t xml:space="preserve"> East Afr Med.</w:t>
              </w:r>
            </w:p>
            <w:p w:rsidR="00790FA1" w:rsidRDefault="00790FA1" w:rsidP="00790FA1">
              <w:pPr>
                <w:pStyle w:val="Bibliography"/>
                <w:ind w:left="720" w:hanging="720"/>
                <w:rPr>
                  <w:noProof/>
                </w:rPr>
              </w:pPr>
              <w:r>
                <w:rPr>
                  <w:noProof/>
                </w:rPr>
                <w:t xml:space="preserve">SY, F. (2024). </w:t>
              </w:r>
              <w:r>
                <w:rPr>
                  <w:i/>
                  <w:iCs/>
                  <w:noProof/>
                </w:rPr>
                <w:t>Factors associated with early in-hospital adverse outcomes following surgery for acute appendicitis in uganda: a multicenter study .</w:t>
              </w:r>
              <w:r>
                <w:rPr>
                  <w:noProof/>
                </w:rPr>
                <w:t xml:space="preserve"> Perioper Med.</w:t>
              </w:r>
            </w:p>
            <w:p w:rsidR="00790FA1" w:rsidRDefault="00790FA1" w:rsidP="00790FA1">
              <w:r>
                <w:rPr>
                  <w:b/>
                  <w:bCs/>
                  <w:noProof/>
                </w:rPr>
                <w:fldChar w:fldCharType="end"/>
              </w:r>
            </w:p>
          </w:sdtContent>
        </w:sdt>
      </w:sdtContent>
    </w:sdt>
    <w:p w:rsidR="00F13302" w:rsidRDefault="00950F98">
      <w:bookmarkStart w:id="0" w:name="_GoBack"/>
      <w:bookmarkEnd w:id="0"/>
    </w:p>
    <w:sectPr w:rsidR="00F1330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F98" w:rsidRDefault="00950F98" w:rsidP="00790FA1">
      <w:pPr>
        <w:spacing w:after="0" w:line="240" w:lineRule="auto"/>
      </w:pPr>
      <w:r>
        <w:separator/>
      </w:r>
    </w:p>
  </w:endnote>
  <w:endnote w:type="continuationSeparator" w:id="0">
    <w:p w:rsidR="00950F98" w:rsidRDefault="00950F98" w:rsidP="00790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F98" w:rsidRDefault="00950F98" w:rsidP="00790FA1">
      <w:pPr>
        <w:spacing w:after="0" w:line="240" w:lineRule="auto"/>
      </w:pPr>
      <w:r>
        <w:separator/>
      </w:r>
    </w:p>
  </w:footnote>
  <w:footnote w:type="continuationSeparator" w:id="0">
    <w:p w:rsidR="00950F98" w:rsidRDefault="00950F98" w:rsidP="00790F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C1CDD"/>
    <w:multiLevelType w:val="multilevel"/>
    <w:tmpl w:val="E4B6D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3B49F4"/>
    <w:multiLevelType w:val="multilevel"/>
    <w:tmpl w:val="B37C4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6F60AD5"/>
    <w:multiLevelType w:val="multilevel"/>
    <w:tmpl w:val="9884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2E"/>
    <w:rsid w:val="000826F2"/>
    <w:rsid w:val="001129C4"/>
    <w:rsid w:val="003714E7"/>
    <w:rsid w:val="00422421"/>
    <w:rsid w:val="005D00EE"/>
    <w:rsid w:val="00790FA1"/>
    <w:rsid w:val="00835488"/>
    <w:rsid w:val="008E2C02"/>
    <w:rsid w:val="008F2860"/>
    <w:rsid w:val="00950F98"/>
    <w:rsid w:val="00CC1C73"/>
    <w:rsid w:val="00F2412E"/>
    <w:rsid w:val="00F85AFB"/>
    <w:rsid w:val="00FB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4F81E-6DC2-4E10-8D3A-7B9504D5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0F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412E"/>
    <w:rPr>
      <w:color w:val="0000FF"/>
      <w:u w:val="single"/>
    </w:rPr>
  </w:style>
  <w:style w:type="paragraph" w:styleId="FootnoteText">
    <w:name w:val="footnote text"/>
    <w:basedOn w:val="Normal"/>
    <w:link w:val="FootnoteTextChar"/>
    <w:uiPriority w:val="99"/>
    <w:semiHidden/>
    <w:unhideWhenUsed/>
    <w:rsid w:val="00790F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0FA1"/>
    <w:rPr>
      <w:sz w:val="20"/>
      <w:szCs w:val="20"/>
    </w:rPr>
  </w:style>
  <w:style w:type="character" w:styleId="FootnoteReference">
    <w:name w:val="footnote reference"/>
    <w:basedOn w:val="DefaultParagraphFont"/>
    <w:uiPriority w:val="99"/>
    <w:semiHidden/>
    <w:unhideWhenUsed/>
    <w:rsid w:val="00790FA1"/>
    <w:rPr>
      <w:vertAlign w:val="superscript"/>
    </w:rPr>
  </w:style>
  <w:style w:type="character" w:customStyle="1" w:styleId="Heading1Char">
    <w:name w:val="Heading 1 Char"/>
    <w:basedOn w:val="DefaultParagraphFont"/>
    <w:link w:val="Heading1"/>
    <w:uiPriority w:val="9"/>
    <w:rsid w:val="00790FA1"/>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790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90675">
      <w:bodyDiv w:val="1"/>
      <w:marLeft w:val="0"/>
      <w:marRight w:val="0"/>
      <w:marTop w:val="0"/>
      <w:marBottom w:val="0"/>
      <w:divBdr>
        <w:top w:val="none" w:sz="0" w:space="0" w:color="auto"/>
        <w:left w:val="none" w:sz="0" w:space="0" w:color="auto"/>
        <w:bottom w:val="none" w:sz="0" w:space="0" w:color="auto"/>
        <w:right w:val="none" w:sz="0" w:space="0" w:color="auto"/>
      </w:divBdr>
    </w:div>
    <w:div w:id="83234841">
      <w:bodyDiv w:val="1"/>
      <w:marLeft w:val="0"/>
      <w:marRight w:val="0"/>
      <w:marTop w:val="0"/>
      <w:marBottom w:val="0"/>
      <w:divBdr>
        <w:top w:val="none" w:sz="0" w:space="0" w:color="auto"/>
        <w:left w:val="none" w:sz="0" w:space="0" w:color="auto"/>
        <w:bottom w:val="none" w:sz="0" w:space="0" w:color="auto"/>
        <w:right w:val="none" w:sz="0" w:space="0" w:color="auto"/>
      </w:divBdr>
    </w:div>
    <w:div w:id="117768995">
      <w:bodyDiv w:val="1"/>
      <w:marLeft w:val="0"/>
      <w:marRight w:val="0"/>
      <w:marTop w:val="0"/>
      <w:marBottom w:val="0"/>
      <w:divBdr>
        <w:top w:val="none" w:sz="0" w:space="0" w:color="auto"/>
        <w:left w:val="none" w:sz="0" w:space="0" w:color="auto"/>
        <w:bottom w:val="none" w:sz="0" w:space="0" w:color="auto"/>
        <w:right w:val="none" w:sz="0" w:space="0" w:color="auto"/>
      </w:divBdr>
    </w:div>
    <w:div w:id="120348898">
      <w:bodyDiv w:val="1"/>
      <w:marLeft w:val="0"/>
      <w:marRight w:val="0"/>
      <w:marTop w:val="0"/>
      <w:marBottom w:val="0"/>
      <w:divBdr>
        <w:top w:val="none" w:sz="0" w:space="0" w:color="auto"/>
        <w:left w:val="none" w:sz="0" w:space="0" w:color="auto"/>
        <w:bottom w:val="none" w:sz="0" w:space="0" w:color="auto"/>
        <w:right w:val="none" w:sz="0" w:space="0" w:color="auto"/>
      </w:divBdr>
    </w:div>
    <w:div w:id="157112483">
      <w:bodyDiv w:val="1"/>
      <w:marLeft w:val="0"/>
      <w:marRight w:val="0"/>
      <w:marTop w:val="0"/>
      <w:marBottom w:val="0"/>
      <w:divBdr>
        <w:top w:val="none" w:sz="0" w:space="0" w:color="auto"/>
        <w:left w:val="none" w:sz="0" w:space="0" w:color="auto"/>
        <w:bottom w:val="none" w:sz="0" w:space="0" w:color="auto"/>
        <w:right w:val="none" w:sz="0" w:space="0" w:color="auto"/>
      </w:divBdr>
    </w:div>
    <w:div w:id="207255837">
      <w:bodyDiv w:val="1"/>
      <w:marLeft w:val="0"/>
      <w:marRight w:val="0"/>
      <w:marTop w:val="0"/>
      <w:marBottom w:val="0"/>
      <w:divBdr>
        <w:top w:val="none" w:sz="0" w:space="0" w:color="auto"/>
        <w:left w:val="none" w:sz="0" w:space="0" w:color="auto"/>
        <w:bottom w:val="none" w:sz="0" w:space="0" w:color="auto"/>
        <w:right w:val="none" w:sz="0" w:space="0" w:color="auto"/>
      </w:divBdr>
    </w:div>
    <w:div w:id="235945302">
      <w:bodyDiv w:val="1"/>
      <w:marLeft w:val="0"/>
      <w:marRight w:val="0"/>
      <w:marTop w:val="0"/>
      <w:marBottom w:val="0"/>
      <w:divBdr>
        <w:top w:val="none" w:sz="0" w:space="0" w:color="auto"/>
        <w:left w:val="none" w:sz="0" w:space="0" w:color="auto"/>
        <w:bottom w:val="none" w:sz="0" w:space="0" w:color="auto"/>
        <w:right w:val="none" w:sz="0" w:space="0" w:color="auto"/>
      </w:divBdr>
    </w:div>
    <w:div w:id="311566488">
      <w:bodyDiv w:val="1"/>
      <w:marLeft w:val="0"/>
      <w:marRight w:val="0"/>
      <w:marTop w:val="0"/>
      <w:marBottom w:val="0"/>
      <w:divBdr>
        <w:top w:val="none" w:sz="0" w:space="0" w:color="auto"/>
        <w:left w:val="none" w:sz="0" w:space="0" w:color="auto"/>
        <w:bottom w:val="none" w:sz="0" w:space="0" w:color="auto"/>
        <w:right w:val="none" w:sz="0" w:space="0" w:color="auto"/>
      </w:divBdr>
    </w:div>
    <w:div w:id="358362189">
      <w:bodyDiv w:val="1"/>
      <w:marLeft w:val="0"/>
      <w:marRight w:val="0"/>
      <w:marTop w:val="0"/>
      <w:marBottom w:val="0"/>
      <w:divBdr>
        <w:top w:val="none" w:sz="0" w:space="0" w:color="auto"/>
        <w:left w:val="none" w:sz="0" w:space="0" w:color="auto"/>
        <w:bottom w:val="none" w:sz="0" w:space="0" w:color="auto"/>
        <w:right w:val="none" w:sz="0" w:space="0" w:color="auto"/>
      </w:divBdr>
    </w:div>
    <w:div w:id="405108913">
      <w:bodyDiv w:val="1"/>
      <w:marLeft w:val="0"/>
      <w:marRight w:val="0"/>
      <w:marTop w:val="0"/>
      <w:marBottom w:val="0"/>
      <w:divBdr>
        <w:top w:val="none" w:sz="0" w:space="0" w:color="auto"/>
        <w:left w:val="none" w:sz="0" w:space="0" w:color="auto"/>
        <w:bottom w:val="none" w:sz="0" w:space="0" w:color="auto"/>
        <w:right w:val="none" w:sz="0" w:space="0" w:color="auto"/>
      </w:divBdr>
    </w:div>
    <w:div w:id="418017438">
      <w:bodyDiv w:val="1"/>
      <w:marLeft w:val="0"/>
      <w:marRight w:val="0"/>
      <w:marTop w:val="0"/>
      <w:marBottom w:val="0"/>
      <w:divBdr>
        <w:top w:val="none" w:sz="0" w:space="0" w:color="auto"/>
        <w:left w:val="none" w:sz="0" w:space="0" w:color="auto"/>
        <w:bottom w:val="none" w:sz="0" w:space="0" w:color="auto"/>
        <w:right w:val="none" w:sz="0" w:space="0" w:color="auto"/>
      </w:divBdr>
    </w:div>
    <w:div w:id="540286529">
      <w:bodyDiv w:val="1"/>
      <w:marLeft w:val="0"/>
      <w:marRight w:val="0"/>
      <w:marTop w:val="0"/>
      <w:marBottom w:val="0"/>
      <w:divBdr>
        <w:top w:val="none" w:sz="0" w:space="0" w:color="auto"/>
        <w:left w:val="none" w:sz="0" w:space="0" w:color="auto"/>
        <w:bottom w:val="none" w:sz="0" w:space="0" w:color="auto"/>
        <w:right w:val="none" w:sz="0" w:space="0" w:color="auto"/>
      </w:divBdr>
    </w:div>
    <w:div w:id="548884242">
      <w:bodyDiv w:val="1"/>
      <w:marLeft w:val="0"/>
      <w:marRight w:val="0"/>
      <w:marTop w:val="0"/>
      <w:marBottom w:val="0"/>
      <w:divBdr>
        <w:top w:val="none" w:sz="0" w:space="0" w:color="auto"/>
        <w:left w:val="none" w:sz="0" w:space="0" w:color="auto"/>
        <w:bottom w:val="none" w:sz="0" w:space="0" w:color="auto"/>
        <w:right w:val="none" w:sz="0" w:space="0" w:color="auto"/>
      </w:divBdr>
    </w:div>
    <w:div w:id="677276173">
      <w:bodyDiv w:val="1"/>
      <w:marLeft w:val="0"/>
      <w:marRight w:val="0"/>
      <w:marTop w:val="0"/>
      <w:marBottom w:val="0"/>
      <w:divBdr>
        <w:top w:val="none" w:sz="0" w:space="0" w:color="auto"/>
        <w:left w:val="none" w:sz="0" w:space="0" w:color="auto"/>
        <w:bottom w:val="none" w:sz="0" w:space="0" w:color="auto"/>
        <w:right w:val="none" w:sz="0" w:space="0" w:color="auto"/>
      </w:divBdr>
    </w:div>
    <w:div w:id="679426670">
      <w:bodyDiv w:val="1"/>
      <w:marLeft w:val="0"/>
      <w:marRight w:val="0"/>
      <w:marTop w:val="0"/>
      <w:marBottom w:val="0"/>
      <w:divBdr>
        <w:top w:val="none" w:sz="0" w:space="0" w:color="auto"/>
        <w:left w:val="none" w:sz="0" w:space="0" w:color="auto"/>
        <w:bottom w:val="none" w:sz="0" w:space="0" w:color="auto"/>
        <w:right w:val="none" w:sz="0" w:space="0" w:color="auto"/>
      </w:divBdr>
    </w:div>
    <w:div w:id="711997946">
      <w:bodyDiv w:val="1"/>
      <w:marLeft w:val="0"/>
      <w:marRight w:val="0"/>
      <w:marTop w:val="0"/>
      <w:marBottom w:val="0"/>
      <w:divBdr>
        <w:top w:val="none" w:sz="0" w:space="0" w:color="auto"/>
        <w:left w:val="none" w:sz="0" w:space="0" w:color="auto"/>
        <w:bottom w:val="none" w:sz="0" w:space="0" w:color="auto"/>
        <w:right w:val="none" w:sz="0" w:space="0" w:color="auto"/>
      </w:divBdr>
    </w:div>
    <w:div w:id="743574543">
      <w:bodyDiv w:val="1"/>
      <w:marLeft w:val="0"/>
      <w:marRight w:val="0"/>
      <w:marTop w:val="0"/>
      <w:marBottom w:val="0"/>
      <w:divBdr>
        <w:top w:val="none" w:sz="0" w:space="0" w:color="auto"/>
        <w:left w:val="none" w:sz="0" w:space="0" w:color="auto"/>
        <w:bottom w:val="none" w:sz="0" w:space="0" w:color="auto"/>
        <w:right w:val="none" w:sz="0" w:space="0" w:color="auto"/>
      </w:divBdr>
    </w:div>
    <w:div w:id="763918803">
      <w:bodyDiv w:val="1"/>
      <w:marLeft w:val="0"/>
      <w:marRight w:val="0"/>
      <w:marTop w:val="0"/>
      <w:marBottom w:val="0"/>
      <w:divBdr>
        <w:top w:val="none" w:sz="0" w:space="0" w:color="auto"/>
        <w:left w:val="none" w:sz="0" w:space="0" w:color="auto"/>
        <w:bottom w:val="none" w:sz="0" w:space="0" w:color="auto"/>
        <w:right w:val="none" w:sz="0" w:space="0" w:color="auto"/>
      </w:divBdr>
    </w:div>
    <w:div w:id="808791750">
      <w:bodyDiv w:val="1"/>
      <w:marLeft w:val="0"/>
      <w:marRight w:val="0"/>
      <w:marTop w:val="0"/>
      <w:marBottom w:val="0"/>
      <w:divBdr>
        <w:top w:val="none" w:sz="0" w:space="0" w:color="auto"/>
        <w:left w:val="none" w:sz="0" w:space="0" w:color="auto"/>
        <w:bottom w:val="none" w:sz="0" w:space="0" w:color="auto"/>
        <w:right w:val="none" w:sz="0" w:space="0" w:color="auto"/>
      </w:divBdr>
    </w:div>
    <w:div w:id="857886099">
      <w:bodyDiv w:val="1"/>
      <w:marLeft w:val="0"/>
      <w:marRight w:val="0"/>
      <w:marTop w:val="0"/>
      <w:marBottom w:val="0"/>
      <w:divBdr>
        <w:top w:val="none" w:sz="0" w:space="0" w:color="auto"/>
        <w:left w:val="none" w:sz="0" w:space="0" w:color="auto"/>
        <w:bottom w:val="none" w:sz="0" w:space="0" w:color="auto"/>
        <w:right w:val="none" w:sz="0" w:space="0" w:color="auto"/>
      </w:divBdr>
    </w:div>
    <w:div w:id="897321526">
      <w:bodyDiv w:val="1"/>
      <w:marLeft w:val="0"/>
      <w:marRight w:val="0"/>
      <w:marTop w:val="0"/>
      <w:marBottom w:val="0"/>
      <w:divBdr>
        <w:top w:val="none" w:sz="0" w:space="0" w:color="auto"/>
        <w:left w:val="none" w:sz="0" w:space="0" w:color="auto"/>
        <w:bottom w:val="none" w:sz="0" w:space="0" w:color="auto"/>
        <w:right w:val="none" w:sz="0" w:space="0" w:color="auto"/>
      </w:divBdr>
    </w:div>
    <w:div w:id="954556073">
      <w:bodyDiv w:val="1"/>
      <w:marLeft w:val="0"/>
      <w:marRight w:val="0"/>
      <w:marTop w:val="0"/>
      <w:marBottom w:val="0"/>
      <w:divBdr>
        <w:top w:val="none" w:sz="0" w:space="0" w:color="auto"/>
        <w:left w:val="none" w:sz="0" w:space="0" w:color="auto"/>
        <w:bottom w:val="none" w:sz="0" w:space="0" w:color="auto"/>
        <w:right w:val="none" w:sz="0" w:space="0" w:color="auto"/>
      </w:divBdr>
    </w:div>
    <w:div w:id="969676909">
      <w:bodyDiv w:val="1"/>
      <w:marLeft w:val="0"/>
      <w:marRight w:val="0"/>
      <w:marTop w:val="0"/>
      <w:marBottom w:val="0"/>
      <w:divBdr>
        <w:top w:val="none" w:sz="0" w:space="0" w:color="auto"/>
        <w:left w:val="none" w:sz="0" w:space="0" w:color="auto"/>
        <w:bottom w:val="none" w:sz="0" w:space="0" w:color="auto"/>
        <w:right w:val="none" w:sz="0" w:space="0" w:color="auto"/>
      </w:divBdr>
    </w:div>
    <w:div w:id="1017195815">
      <w:bodyDiv w:val="1"/>
      <w:marLeft w:val="0"/>
      <w:marRight w:val="0"/>
      <w:marTop w:val="0"/>
      <w:marBottom w:val="0"/>
      <w:divBdr>
        <w:top w:val="none" w:sz="0" w:space="0" w:color="auto"/>
        <w:left w:val="none" w:sz="0" w:space="0" w:color="auto"/>
        <w:bottom w:val="none" w:sz="0" w:space="0" w:color="auto"/>
        <w:right w:val="none" w:sz="0" w:space="0" w:color="auto"/>
      </w:divBdr>
    </w:div>
    <w:div w:id="1127242425">
      <w:bodyDiv w:val="1"/>
      <w:marLeft w:val="0"/>
      <w:marRight w:val="0"/>
      <w:marTop w:val="0"/>
      <w:marBottom w:val="0"/>
      <w:divBdr>
        <w:top w:val="none" w:sz="0" w:space="0" w:color="auto"/>
        <w:left w:val="none" w:sz="0" w:space="0" w:color="auto"/>
        <w:bottom w:val="none" w:sz="0" w:space="0" w:color="auto"/>
        <w:right w:val="none" w:sz="0" w:space="0" w:color="auto"/>
      </w:divBdr>
    </w:div>
    <w:div w:id="1160341071">
      <w:bodyDiv w:val="1"/>
      <w:marLeft w:val="0"/>
      <w:marRight w:val="0"/>
      <w:marTop w:val="0"/>
      <w:marBottom w:val="0"/>
      <w:divBdr>
        <w:top w:val="none" w:sz="0" w:space="0" w:color="auto"/>
        <w:left w:val="none" w:sz="0" w:space="0" w:color="auto"/>
        <w:bottom w:val="none" w:sz="0" w:space="0" w:color="auto"/>
        <w:right w:val="none" w:sz="0" w:space="0" w:color="auto"/>
      </w:divBdr>
    </w:div>
    <w:div w:id="1183973751">
      <w:bodyDiv w:val="1"/>
      <w:marLeft w:val="0"/>
      <w:marRight w:val="0"/>
      <w:marTop w:val="0"/>
      <w:marBottom w:val="0"/>
      <w:divBdr>
        <w:top w:val="none" w:sz="0" w:space="0" w:color="auto"/>
        <w:left w:val="none" w:sz="0" w:space="0" w:color="auto"/>
        <w:bottom w:val="none" w:sz="0" w:space="0" w:color="auto"/>
        <w:right w:val="none" w:sz="0" w:space="0" w:color="auto"/>
      </w:divBdr>
    </w:div>
    <w:div w:id="1228343458">
      <w:bodyDiv w:val="1"/>
      <w:marLeft w:val="0"/>
      <w:marRight w:val="0"/>
      <w:marTop w:val="0"/>
      <w:marBottom w:val="0"/>
      <w:divBdr>
        <w:top w:val="none" w:sz="0" w:space="0" w:color="auto"/>
        <w:left w:val="none" w:sz="0" w:space="0" w:color="auto"/>
        <w:bottom w:val="none" w:sz="0" w:space="0" w:color="auto"/>
        <w:right w:val="none" w:sz="0" w:space="0" w:color="auto"/>
      </w:divBdr>
    </w:div>
    <w:div w:id="1353261393">
      <w:bodyDiv w:val="1"/>
      <w:marLeft w:val="0"/>
      <w:marRight w:val="0"/>
      <w:marTop w:val="0"/>
      <w:marBottom w:val="0"/>
      <w:divBdr>
        <w:top w:val="none" w:sz="0" w:space="0" w:color="auto"/>
        <w:left w:val="none" w:sz="0" w:space="0" w:color="auto"/>
        <w:bottom w:val="none" w:sz="0" w:space="0" w:color="auto"/>
        <w:right w:val="none" w:sz="0" w:space="0" w:color="auto"/>
      </w:divBdr>
    </w:div>
    <w:div w:id="1413504355">
      <w:bodyDiv w:val="1"/>
      <w:marLeft w:val="0"/>
      <w:marRight w:val="0"/>
      <w:marTop w:val="0"/>
      <w:marBottom w:val="0"/>
      <w:divBdr>
        <w:top w:val="none" w:sz="0" w:space="0" w:color="auto"/>
        <w:left w:val="none" w:sz="0" w:space="0" w:color="auto"/>
        <w:bottom w:val="none" w:sz="0" w:space="0" w:color="auto"/>
        <w:right w:val="none" w:sz="0" w:space="0" w:color="auto"/>
      </w:divBdr>
      <w:divsChild>
        <w:div w:id="1952131710">
          <w:marLeft w:val="0"/>
          <w:marRight w:val="0"/>
          <w:marTop w:val="120"/>
          <w:marBottom w:val="120"/>
          <w:divBdr>
            <w:top w:val="none" w:sz="0" w:space="0" w:color="auto"/>
            <w:left w:val="none" w:sz="0" w:space="0" w:color="auto"/>
            <w:bottom w:val="none" w:sz="0" w:space="0" w:color="auto"/>
            <w:right w:val="none" w:sz="0" w:space="0" w:color="auto"/>
          </w:divBdr>
        </w:div>
        <w:div w:id="1070931496">
          <w:marLeft w:val="0"/>
          <w:marRight w:val="0"/>
          <w:marTop w:val="120"/>
          <w:marBottom w:val="120"/>
          <w:divBdr>
            <w:top w:val="none" w:sz="0" w:space="0" w:color="auto"/>
            <w:left w:val="none" w:sz="0" w:space="0" w:color="auto"/>
            <w:bottom w:val="none" w:sz="0" w:space="0" w:color="auto"/>
            <w:right w:val="none" w:sz="0" w:space="0" w:color="auto"/>
          </w:divBdr>
        </w:div>
        <w:div w:id="2097826641">
          <w:marLeft w:val="0"/>
          <w:marRight w:val="0"/>
          <w:marTop w:val="120"/>
          <w:marBottom w:val="120"/>
          <w:divBdr>
            <w:top w:val="none" w:sz="0" w:space="0" w:color="auto"/>
            <w:left w:val="none" w:sz="0" w:space="0" w:color="auto"/>
            <w:bottom w:val="none" w:sz="0" w:space="0" w:color="auto"/>
            <w:right w:val="none" w:sz="0" w:space="0" w:color="auto"/>
          </w:divBdr>
        </w:div>
        <w:div w:id="1952585895">
          <w:marLeft w:val="0"/>
          <w:marRight w:val="0"/>
          <w:marTop w:val="120"/>
          <w:marBottom w:val="120"/>
          <w:divBdr>
            <w:top w:val="none" w:sz="0" w:space="0" w:color="auto"/>
            <w:left w:val="none" w:sz="0" w:space="0" w:color="auto"/>
            <w:bottom w:val="none" w:sz="0" w:space="0" w:color="auto"/>
            <w:right w:val="none" w:sz="0" w:space="0" w:color="auto"/>
          </w:divBdr>
        </w:div>
        <w:div w:id="1080713976">
          <w:marLeft w:val="0"/>
          <w:marRight w:val="0"/>
          <w:marTop w:val="120"/>
          <w:marBottom w:val="120"/>
          <w:divBdr>
            <w:top w:val="none" w:sz="0" w:space="0" w:color="auto"/>
            <w:left w:val="none" w:sz="0" w:space="0" w:color="auto"/>
            <w:bottom w:val="none" w:sz="0" w:space="0" w:color="auto"/>
            <w:right w:val="none" w:sz="0" w:space="0" w:color="auto"/>
          </w:divBdr>
        </w:div>
        <w:div w:id="1549493218">
          <w:marLeft w:val="0"/>
          <w:marRight w:val="0"/>
          <w:marTop w:val="120"/>
          <w:marBottom w:val="120"/>
          <w:divBdr>
            <w:top w:val="none" w:sz="0" w:space="0" w:color="auto"/>
            <w:left w:val="none" w:sz="0" w:space="0" w:color="auto"/>
            <w:bottom w:val="none" w:sz="0" w:space="0" w:color="auto"/>
            <w:right w:val="none" w:sz="0" w:space="0" w:color="auto"/>
          </w:divBdr>
        </w:div>
        <w:div w:id="1961493001">
          <w:marLeft w:val="0"/>
          <w:marRight w:val="0"/>
          <w:marTop w:val="120"/>
          <w:marBottom w:val="120"/>
          <w:divBdr>
            <w:top w:val="none" w:sz="0" w:space="0" w:color="auto"/>
            <w:left w:val="none" w:sz="0" w:space="0" w:color="auto"/>
            <w:bottom w:val="none" w:sz="0" w:space="0" w:color="auto"/>
            <w:right w:val="none" w:sz="0" w:space="0" w:color="auto"/>
          </w:divBdr>
        </w:div>
        <w:div w:id="697389190">
          <w:marLeft w:val="0"/>
          <w:marRight w:val="0"/>
          <w:marTop w:val="120"/>
          <w:marBottom w:val="120"/>
          <w:divBdr>
            <w:top w:val="none" w:sz="0" w:space="0" w:color="auto"/>
            <w:left w:val="none" w:sz="0" w:space="0" w:color="auto"/>
            <w:bottom w:val="none" w:sz="0" w:space="0" w:color="auto"/>
            <w:right w:val="none" w:sz="0" w:space="0" w:color="auto"/>
          </w:divBdr>
        </w:div>
        <w:div w:id="1177618065">
          <w:marLeft w:val="0"/>
          <w:marRight w:val="0"/>
          <w:marTop w:val="120"/>
          <w:marBottom w:val="120"/>
          <w:divBdr>
            <w:top w:val="none" w:sz="0" w:space="0" w:color="auto"/>
            <w:left w:val="none" w:sz="0" w:space="0" w:color="auto"/>
            <w:bottom w:val="none" w:sz="0" w:space="0" w:color="auto"/>
            <w:right w:val="none" w:sz="0" w:space="0" w:color="auto"/>
          </w:divBdr>
        </w:div>
        <w:div w:id="1884828816">
          <w:marLeft w:val="0"/>
          <w:marRight w:val="0"/>
          <w:marTop w:val="120"/>
          <w:marBottom w:val="120"/>
          <w:divBdr>
            <w:top w:val="none" w:sz="0" w:space="0" w:color="auto"/>
            <w:left w:val="none" w:sz="0" w:space="0" w:color="auto"/>
            <w:bottom w:val="none" w:sz="0" w:space="0" w:color="auto"/>
            <w:right w:val="none" w:sz="0" w:space="0" w:color="auto"/>
          </w:divBdr>
        </w:div>
        <w:div w:id="27410386">
          <w:marLeft w:val="0"/>
          <w:marRight w:val="0"/>
          <w:marTop w:val="120"/>
          <w:marBottom w:val="120"/>
          <w:divBdr>
            <w:top w:val="none" w:sz="0" w:space="0" w:color="auto"/>
            <w:left w:val="none" w:sz="0" w:space="0" w:color="auto"/>
            <w:bottom w:val="none" w:sz="0" w:space="0" w:color="auto"/>
            <w:right w:val="none" w:sz="0" w:space="0" w:color="auto"/>
          </w:divBdr>
        </w:div>
        <w:div w:id="1737163423">
          <w:marLeft w:val="0"/>
          <w:marRight w:val="0"/>
          <w:marTop w:val="120"/>
          <w:marBottom w:val="120"/>
          <w:divBdr>
            <w:top w:val="none" w:sz="0" w:space="0" w:color="auto"/>
            <w:left w:val="none" w:sz="0" w:space="0" w:color="auto"/>
            <w:bottom w:val="none" w:sz="0" w:space="0" w:color="auto"/>
            <w:right w:val="none" w:sz="0" w:space="0" w:color="auto"/>
          </w:divBdr>
        </w:div>
        <w:div w:id="314648812">
          <w:marLeft w:val="0"/>
          <w:marRight w:val="0"/>
          <w:marTop w:val="120"/>
          <w:marBottom w:val="120"/>
          <w:divBdr>
            <w:top w:val="none" w:sz="0" w:space="0" w:color="auto"/>
            <w:left w:val="none" w:sz="0" w:space="0" w:color="auto"/>
            <w:bottom w:val="none" w:sz="0" w:space="0" w:color="auto"/>
            <w:right w:val="none" w:sz="0" w:space="0" w:color="auto"/>
          </w:divBdr>
        </w:div>
        <w:div w:id="2073457132">
          <w:marLeft w:val="0"/>
          <w:marRight w:val="0"/>
          <w:marTop w:val="120"/>
          <w:marBottom w:val="120"/>
          <w:divBdr>
            <w:top w:val="none" w:sz="0" w:space="0" w:color="auto"/>
            <w:left w:val="none" w:sz="0" w:space="0" w:color="auto"/>
            <w:bottom w:val="none" w:sz="0" w:space="0" w:color="auto"/>
            <w:right w:val="none" w:sz="0" w:space="0" w:color="auto"/>
          </w:divBdr>
        </w:div>
        <w:div w:id="657538656">
          <w:marLeft w:val="0"/>
          <w:marRight w:val="0"/>
          <w:marTop w:val="120"/>
          <w:marBottom w:val="120"/>
          <w:divBdr>
            <w:top w:val="none" w:sz="0" w:space="0" w:color="auto"/>
            <w:left w:val="none" w:sz="0" w:space="0" w:color="auto"/>
            <w:bottom w:val="none" w:sz="0" w:space="0" w:color="auto"/>
            <w:right w:val="none" w:sz="0" w:space="0" w:color="auto"/>
          </w:divBdr>
        </w:div>
        <w:div w:id="25982487">
          <w:marLeft w:val="0"/>
          <w:marRight w:val="0"/>
          <w:marTop w:val="120"/>
          <w:marBottom w:val="120"/>
          <w:divBdr>
            <w:top w:val="none" w:sz="0" w:space="0" w:color="auto"/>
            <w:left w:val="none" w:sz="0" w:space="0" w:color="auto"/>
            <w:bottom w:val="none" w:sz="0" w:space="0" w:color="auto"/>
            <w:right w:val="none" w:sz="0" w:space="0" w:color="auto"/>
          </w:divBdr>
        </w:div>
        <w:div w:id="1947342961">
          <w:marLeft w:val="0"/>
          <w:marRight w:val="0"/>
          <w:marTop w:val="120"/>
          <w:marBottom w:val="120"/>
          <w:divBdr>
            <w:top w:val="none" w:sz="0" w:space="0" w:color="auto"/>
            <w:left w:val="none" w:sz="0" w:space="0" w:color="auto"/>
            <w:bottom w:val="none" w:sz="0" w:space="0" w:color="auto"/>
            <w:right w:val="none" w:sz="0" w:space="0" w:color="auto"/>
          </w:divBdr>
        </w:div>
        <w:div w:id="1126583493">
          <w:marLeft w:val="0"/>
          <w:marRight w:val="0"/>
          <w:marTop w:val="120"/>
          <w:marBottom w:val="120"/>
          <w:divBdr>
            <w:top w:val="none" w:sz="0" w:space="0" w:color="auto"/>
            <w:left w:val="none" w:sz="0" w:space="0" w:color="auto"/>
            <w:bottom w:val="none" w:sz="0" w:space="0" w:color="auto"/>
            <w:right w:val="none" w:sz="0" w:space="0" w:color="auto"/>
          </w:divBdr>
        </w:div>
        <w:div w:id="988246258">
          <w:marLeft w:val="0"/>
          <w:marRight w:val="0"/>
          <w:marTop w:val="120"/>
          <w:marBottom w:val="120"/>
          <w:divBdr>
            <w:top w:val="none" w:sz="0" w:space="0" w:color="auto"/>
            <w:left w:val="none" w:sz="0" w:space="0" w:color="auto"/>
            <w:bottom w:val="none" w:sz="0" w:space="0" w:color="auto"/>
            <w:right w:val="none" w:sz="0" w:space="0" w:color="auto"/>
          </w:divBdr>
        </w:div>
        <w:div w:id="325861644">
          <w:marLeft w:val="0"/>
          <w:marRight w:val="0"/>
          <w:marTop w:val="120"/>
          <w:marBottom w:val="120"/>
          <w:divBdr>
            <w:top w:val="none" w:sz="0" w:space="0" w:color="auto"/>
            <w:left w:val="none" w:sz="0" w:space="0" w:color="auto"/>
            <w:bottom w:val="none" w:sz="0" w:space="0" w:color="auto"/>
            <w:right w:val="none" w:sz="0" w:space="0" w:color="auto"/>
          </w:divBdr>
        </w:div>
        <w:div w:id="2088454321">
          <w:marLeft w:val="0"/>
          <w:marRight w:val="0"/>
          <w:marTop w:val="120"/>
          <w:marBottom w:val="120"/>
          <w:divBdr>
            <w:top w:val="none" w:sz="0" w:space="0" w:color="auto"/>
            <w:left w:val="none" w:sz="0" w:space="0" w:color="auto"/>
            <w:bottom w:val="none" w:sz="0" w:space="0" w:color="auto"/>
            <w:right w:val="none" w:sz="0" w:space="0" w:color="auto"/>
          </w:divBdr>
        </w:div>
        <w:div w:id="1530266344">
          <w:marLeft w:val="0"/>
          <w:marRight w:val="0"/>
          <w:marTop w:val="120"/>
          <w:marBottom w:val="120"/>
          <w:divBdr>
            <w:top w:val="none" w:sz="0" w:space="0" w:color="auto"/>
            <w:left w:val="none" w:sz="0" w:space="0" w:color="auto"/>
            <w:bottom w:val="none" w:sz="0" w:space="0" w:color="auto"/>
            <w:right w:val="none" w:sz="0" w:space="0" w:color="auto"/>
          </w:divBdr>
        </w:div>
        <w:div w:id="56363520">
          <w:marLeft w:val="0"/>
          <w:marRight w:val="0"/>
          <w:marTop w:val="120"/>
          <w:marBottom w:val="120"/>
          <w:divBdr>
            <w:top w:val="none" w:sz="0" w:space="0" w:color="auto"/>
            <w:left w:val="none" w:sz="0" w:space="0" w:color="auto"/>
            <w:bottom w:val="none" w:sz="0" w:space="0" w:color="auto"/>
            <w:right w:val="none" w:sz="0" w:space="0" w:color="auto"/>
          </w:divBdr>
        </w:div>
        <w:div w:id="659313428">
          <w:marLeft w:val="0"/>
          <w:marRight w:val="0"/>
          <w:marTop w:val="120"/>
          <w:marBottom w:val="120"/>
          <w:divBdr>
            <w:top w:val="none" w:sz="0" w:space="0" w:color="auto"/>
            <w:left w:val="none" w:sz="0" w:space="0" w:color="auto"/>
            <w:bottom w:val="none" w:sz="0" w:space="0" w:color="auto"/>
            <w:right w:val="none" w:sz="0" w:space="0" w:color="auto"/>
          </w:divBdr>
        </w:div>
        <w:div w:id="1470971394">
          <w:marLeft w:val="0"/>
          <w:marRight w:val="0"/>
          <w:marTop w:val="120"/>
          <w:marBottom w:val="120"/>
          <w:divBdr>
            <w:top w:val="none" w:sz="0" w:space="0" w:color="auto"/>
            <w:left w:val="none" w:sz="0" w:space="0" w:color="auto"/>
            <w:bottom w:val="none" w:sz="0" w:space="0" w:color="auto"/>
            <w:right w:val="none" w:sz="0" w:space="0" w:color="auto"/>
          </w:divBdr>
        </w:div>
        <w:div w:id="1710449584">
          <w:marLeft w:val="0"/>
          <w:marRight w:val="0"/>
          <w:marTop w:val="120"/>
          <w:marBottom w:val="120"/>
          <w:divBdr>
            <w:top w:val="none" w:sz="0" w:space="0" w:color="auto"/>
            <w:left w:val="none" w:sz="0" w:space="0" w:color="auto"/>
            <w:bottom w:val="none" w:sz="0" w:space="0" w:color="auto"/>
            <w:right w:val="none" w:sz="0" w:space="0" w:color="auto"/>
          </w:divBdr>
        </w:div>
        <w:div w:id="2051802289">
          <w:marLeft w:val="0"/>
          <w:marRight w:val="0"/>
          <w:marTop w:val="120"/>
          <w:marBottom w:val="120"/>
          <w:divBdr>
            <w:top w:val="none" w:sz="0" w:space="0" w:color="auto"/>
            <w:left w:val="none" w:sz="0" w:space="0" w:color="auto"/>
            <w:bottom w:val="none" w:sz="0" w:space="0" w:color="auto"/>
            <w:right w:val="none" w:sz="0" w:space="0" w:color="auto"/>
          </w:divBdr>
        </w:div>
        <w:div w:id="87889947">
          <w:marLeft w:val="0"/>
          <w:marRight w:val="0"/>
          <w:marTop w:val="120"/>
          <w:marBottom w:val="120"/>
          <w:divBdr>
            <w:top w:val="none" w:sz="0" w:space="0" w:color="auto"/>
            <w:left w:val="none" w:sz="0" w:space="0" w:color="auto"/>
            <w:bottom w:val="none" w:sz="0" w:space="0" w:color="auto"/>
            <w:right w:val="none" w:sz="0" w:space="0" w:color="auto"/>
          </w:divBdr>
        </w:div>
        <w:div w:id="1583948897">
          <w:marLeft w:val="0"/>
          <w:marRight w:val="0"/>
          <w:marTop w:val="120"/>
          <w:marBottom w:val="120"/>
          <w:divBdr>
            <w:top w:val="none" w:sz="0" w:space="0" w:color="auto"/>
            <w:left w:val="none" w:sz="0" w:space="0" w:color="auto"/>
            <w:bottom w:val="none" w:sz="0" w:space="0" w:color="auto"/>
            <w:right w:val="none" w:sz="0" w:space="0" w:color="auto"/>
          </w:divBdr>
        </w:div>
        <w:div w:id="1001859907">
          <w:marLeft w:val="0"/>
          <w:marRight w:val="0"/>
          <w:marTop w:val="120"/>
          <w:marBottom w:val="120"/>
          <w:divBdr>
            <w:top w:val="none" w:sz="0" w:space="0" w:color="auto"/>
            <w:left w:val="none" w:sz="0" w:space="0" w:color="auto"/>
            <w:bottom w:val="none" w:sz="0" w:space="0" w:color="auto"/>
            <w:right w:val="none" w:sz="0" w:space="0" w:color="auto"/>
          </w:divBdr>
        </w:div>
        <w:div w:id="1174732962">
          <w:marLeft w:val="0"/>
          <w:marRight w:val="0"/>
          <w:marTop w:val="120"/>
          <w:marBottom w:val="120"/>
          <w:divBdr>
            <w:top w:val="none" w:sz="0" w:space="0" w:color="auto"/>
            <w:left w:val="none" w:sz="0" w:space="0" w:color="auto"/>
            <w:bottom w:val="none" w:sz="0" w:space="0" w:color="auto"/>
            <w:right w:val="none" w:sz="0" w:space="0" w:color="auto"/>
          </w:divBdr>
        </w:div>
        <w:div w:id="1394037971">
          <w:marLeft w:val="0"/>
          <w:marRight w:val="0"/>
          <w:marTop w:val="120"/>
          <w:marBottom w:val="120"/>
          <w:divBdr>
            <w:top w:val="none" w:sz="0" w:space="0" w:color="auto"/>
            <w:left w:val="none" w:sz="0" w:space="0" w:color="auto"/>
            <w:bottom w:val="none" w:sz="0" w:space="0" w:color="auto"/>
            <w:right w:val="none" w:sz="0" w:space="0" w:color="auto"/>
          </w:divBdr>
        </w:div>
        <w:div w:id="1117913920">
          <w:marLeft w:val="0"/>
          <w:marRight w:val="0"/>
          <w:marTop w:val="120"/>
          <w:marBottom w:val="120"/>
          <w:divBdr>
            <w:top w:val="none" w:sz="0" w:space="0" w:color="auto"/>
            <w:left w:val="none" w:sz="0" w:space="0" w:color="auto"/>
            <w:bottom w:val="none" w:sz="0" w:space="0" w:color="auto"/>
            <w:right w:val="none" w:sz="0" w:space="0" w:color="auto"/>
          </w:divBdr>
        </w:div>
        <w:div w:id="754516440">
          <w:marLeft w:val="0"/>
          <w:marRight w:val="0"/>
          <w:marTop w:val="120"/>
          <w:marBottom w:val="120"/>
          <w:divBdr>
            <w:top w:val="none" w:sz="0" w:space="0" w:color="auto"/>
            <w:left w:val="none" w:sz="0" w:space="0" w:color="auto"/>
            <w:bottom w:val="none" w:sz="0" w:space="0" w:color="auto"/>
            <w:right w:val="none" w:sz="0" w:space="0" w:color="auto"/>
          </w:divBdr>
        </w:div>
        <w:div w:id="1272009536">
          <w:marLeft w:val="0"/>
          <w:marRight w:val="0"/>
          <w:marTop w:val="120"/>
          <w:marBottom w:val="120"/>
          <w:divBdr>
            <w:top w:val="none" w:sz="0" w:space="0" w:color="auto"/>
            <w:left w:val="none" w:sz="0" w:space="0" w:color="auto"/>
            <w:bottom w:val="none" w:sz="0" w:space="0" w:color="auto"/>
            <w:right w:val="none" w:sz="0" w:space="0" w:color="auto"/>
          </w:divBdr>
        </w:div>
        <w:div w:id="1384330669">
          <w:marLeft w:val="0"/>
          <w:marRight w:val="0"/>
          <w:marTop w:val="120"/>
          <w:marBottom w:val="120"/>
          <w:divBdr>
            <w:top w:val="none" w:sz="0" w:space="0" w:color="auto"/>
            <w:left w:val="none" w:sz="0" w:space="0" w:color="auto"/>
            <w:bottom w:val="none" w:sz="0" w:space="0" w:color="auto"/>
            <w:right w:val="none" w:sz="0" w:space="0" w:color="auto"/>
          </w:divBdr>
        </w:div>
        <w:div w:id="1481387694">
          <w:marLeft w:val="0"/>
          <w:marRight w:val="0"/>
          <w:marTop w:val="120"/>
          <w:marBottom w:val="120"/>
          <w:divBdr>
            <w:top w:val="none" w:sz="0" w:space="0" w:color="auto"/>
            <w:left w:val="none" w:sz="0" w:space="0" w:color="auto"/>
            <w:bottom w:val="none" w:sz="0" w:space="0" w:color="auto"/>
            <w:right w:val="none" w:sz="0" w:space="0" w:color="auto"/>
          </w:divBdr>
        </w:div>
        <w:div w:id="1742555354">
          <w:marLeft w:val="0"/>
          <w:marRight w:val="0"/>
          <w:marTop w:val="120"/>
          <w:marBottom w:val="120"/>
          <w:divBdr>
            <w:top w:val="none" w:sz="0" w:space="0" w:color="auto"/>
            <w:left w:val="none" w:sz="0" w:space="0" w:color="auto"/>
            <w:bottom w:val="none" w:sz="0" w:space="0" w:color="auto"/>
            <w:right w:val="none" w:sz="0" w:space="0" w:color="auto"/>
          </w:divBdr>
        </w:div>
        <w:div w:id="1517578783">
          <w:marLeft w:val="0"/>
          <w:marRight w:val="0"/>
          <w:marTop w:val="120"/>
          <w:marBottom w:val="120"/>
          <w:divBdr>
            <w:top w:val="none" w:sz="0" w:space="0" w:color="auto"/>
            <w:left w:val="none" w:sz="0" w:space="0" w:color="auto"/>
            <w:bottom w:val="none" w:sz="0" w:space="0" w:color="auto"/>
            <w:right w:val="none" w:sz="0" w:space="0" w:color="auto"/>
          </w:divBdr>
        </w:div>
        <w:div w:id="1275016438">
          <w:marLeft w:val="0"/>
          <w:marRight w:val="0"/>
          <w:marTop w:val="120"/>
          <w:marBottom w:val="120"/>
          <w:divBdr>
            <w:top w:val="none" w:sz="0" w:space="0" w:color="auto"/>
            <w:left w:val="none" w:sz="0" w:space="0" w:color="auto"/>
            <w:bottom w:val="none" w:sz="0" w:space="0" w:color="auto"/>
            <w:right w:val="none" w:sz="0" w:space="0" w:color="auto"/>
          </w:divBdr>
        </w:div>
        <w:div w:id="1184049292">
          <w:marLeft w:val="0"/>
          <w:marRight w:val="0"/>
          <w:marTop w:val="120"/>
          <w:marBottom w:val="120"/>
          <w:divBdr>
            <w:top w:val="none" w:sz="0" w:space="0" w:color="auto"/>
            <w:left w:val="none" w:sz="0" w:space="0" w:color="auto"/>
            <w:bottom w:val="none" w:sz="0" w:space="0" w:color="auto"/>
            <w:right w:val="none" w:sz="0" w:space="0" w:color="auto"/>
          </w:divBdr>
        </w:div>
        <w:div w:id="530536214">
          <w:marLeft w:val="0"/>
          <w:marRight w:val="0"/>
          <w:marTop w:val="120"/>
          <w:marBottom w:val="120"/>
          <w:divBdr>
            <w:top w:val="none" w:sz="0" w:space="0" w:color="auto"/>
            <w:left w:val="none" w:sz="0" w:space="0" w:color="auto"/>
            <w:bottom w:val="none" w:sz="0" w:space="0" w:color="auto"/>
            <w:right w:val="none" w:sz="0" w:space="0" w:color="auto"/>
          </w:divBdr>
        </w:div>
        <w:div w:id="323821503">
          <w:marLeft w:val="0"/>
          <w:marRight w:val="0"/>
          <w:marTop w:val="120"/>
          <w:marBottom w:val="120"/>
          <w:divBdr>
            <w:top w:val="none" w:sz="0" w:space="0" w:color="auto"/>
            <w:left w:val="none" w:sz="0" w:space="0" w:color="auto"/>
            <w:bottom w:val="none" w:sz="0" w:space="0" w:color="auto"/>
            <w:right w:val="none" w:sz="0" w:space="0" w:color="auto"/>
          </w:divBdr>
        </w:div>
        <w:div w:id="1800806526">
          <w:marLeft w:val="0"/>
          <w:marRight w:val="0"/>
          <w:marTop w:val="120"/>
          <w:marBottom w:val="120"/>
          <w:divBdr>
            <w:top w:val="none" w:sz="0" w:space="0" w:color="auto"/>
            <w:left w:val="none" w:sz="0" w:space="0" w:color="auto"/>
            <w:bottom w:val="none" w:sz="0" w:space="0" w:color="auto"/>
            <w:right w:val="none" w:sz="0" w:space="0" w:color="auto"/>
          </w:divBdr>
        </w:div>
        <w:div w:id="388260525">
          <w:marLeft w:val="0"/>
          <w:marRight w:val="0"/>
          <w:marTop w:val="120"/>
          <w:marBottom w:val="120"/>
          <w:divBdr>
            <w:top w:val="none" w:sz="0" w:space="0" w:color="auto"/>
            <w:left w:val="none" w:sz="0" w:space="0" w:color="auto"/>
            <w:bottom w:val="none" w:sz="0" w:space="0" w:color="auto"/>
            <w:right w:val="none" w:sz="0" w:space="0" w:color="auto"/>
          </w:divBdr>
        </w:div>
        <w:div w:id="630791684">
          <w:marLeft w:val="0"/>
          <w:marRight w:val="0"/>
          <w:marTop w:val="120"/>
          <w:marBottom w:val="120"/>
          <w:divBdr>
            <w:top w:val="none" w:sz="0" w:space="0" w:color="auto"/>
            <w:left w:val="none" w:sz="0" w:space="0" w:color="auto"/>
            <w:bottom w:val="none" w:sz="0" w:space="0" w:color="auto"/>
            <w:right w:val="none" w:sz="0" w:space="0" w:color="auto"/>
          </w:divBdr>
        </w:div>
        <w:div w:id="256989837">
          <w:marLeft w:val="0"/>
          <w:marRight w:val="0"/>
          <w:marTop w:val="120"/>
          <w:marBottom w:val="120"/>
          <w:divBdr>
            <w:top w:val="none" w:sz="0" w:space="0" w:color="auto"/>
            <w:left w:val="none" w:sz="0" w:space="0" w:color="auto"/>
            <w:bottom w:val="none" w:sz="0" w:space="0" w:color="auto"/>
            <w:right w:val="none" w:sz="0" w:space="0" w:color="auto"/>
          </w:divBdr>
        </w:div>
        <w:div w:id="1860002792">
          <w:marLeft w:val="0"/>
          <w:marRight w:val="0"/>
          <w:marTop w:val="120"/>
          <w:marBottom w:val="120"/>
          <w:divBdr>
            <w:top w:val="none" w:sz="0" w:space="0" w:color="auto"/>
            <w:left w:val="none" w:sz="0" w:space="0" w:color="auto"/>
            <w:bottom w:val="none" w:sz="0" w:space="0" w:color="auto"/>
            <w:right w:val="none" w:sz="0" w:space="0" w:color="auto"/>
          </w:divBdr>
        </w:div>
        <w:div w:id="1688017056">
          <w:marLeft w:val="0"/>
          <w:marRight w:val="0"/>
          <w:marTop w:val="120"/>
          <w:marBottom w:val="120"/>
          <w:divBdr>
            <w:top w:val="none" w:sz="0" w:space="0" w:color="auto"/>
            <w:left w:val="none" w:sz="0" w:space="0" w:color="auto"/>
            <w:bottom w:val="none" w:sz="0" w:space="0" w:color="auto"/>
            <w:right w:val="none" w:sz="0" w:space="0" w:color="auto"/>
          </w:divBdr>
        </w:div>
        <w:div w:id="857232413">
          <w:marLeft w:val="0"/>
          <w:marRight w:val="0"/>
          <w:marTop w:val="120"/>
          <w:marBottom w:val="120"/>
          <w:divBdr>
            <w:top w:val="none" w:sz="0" w:space="0" w:color="auto"/>
            <w:left w:val="none" w:sz="0" w:space="0" w:color="auto"/>
            <w:bottom w:val="none" w:sz="0" w:space="0" w:color="auto"/>
            <w:right w:val="none" w:sz="0" w:space="0" w:color="auto"/>
          </w:divBdr>
        </w:div>
        <w:div w:id="2130665586">
          <w:marLeft w:val="0"/>
          <w:marRight w:val="0"/>
          <w:marTop w:val="120"/>
          <w:marBottom w:val="120"/>
          <w:divBdr>
            <w:top w:val="none" w:sz="0" w:space="0" w:color="auto"/>
            <w:left w:val="none" w:sz="0" w:space="0" w:color="auto"/>
            <w:bottom w:val="none" w:sz="0" w:space="0" w:color="auto"/>
            <w:right w:val="none" w:sz="0" w:space="0" w:color="auto"/>
          </w:divBdr>
        </w:div>
        <w:div w:id="357509884">
          <w:marLeft w:val="0"/>
          <w:marRight w:val="0"/>
          <w:marTop w:val="120"/>
          <w:marBottom w:val="120"/>
          <w:divBdr>
            <w:top w:val="none" w:sz="0" w:space="0" w:color="auto"/>
            <w:left w:val="none" w:sz="0" w:space="0" w:color="auto"/>
            <w:bottom w:val="none" w:sz="0" w:space="0" w:color="auto"/>
            <w:right w:val="none" w:sz="0" w:space="0" w:color="auto"/>
          </w:divBdr>
        </w:div>
        <w:div w:id="410665680">
          <w:marLeft w:val="0"/>
          <w:marRight w:val="0"/>
          <w:marTop w:val="120"/>
          <w:marBottom w:val="120"/>
          <w:divBdr>
            <w:top w:val="none" w:sz="0" w:space="0" w:color="auto"/>
            <w:left w:val="none" w:sz="0" w:space="0" w:color="auto"/>
            <w:bottom w:val="none" w:sz="0" w:space="0" w:color="auto"/>
            <w:right w:val="none" w:sz="0" w:space="0" w:color="auto"/>
          </w:divBdr>
        </w:div>
        <w:div w:id="1362364254">
          <w:marLeft w:val="0"/>
          <w:marRight w:val="0"/>
          <w:marTop w:val="120"/>
          <w:marBottom w:val="120"/>
          <w:divBdr>
            <w:top w:val="none" w:sz="0" w:space="0" w:color="auto"/>
            <w:left w:val="none" w:sz="0" w:space="0" w:color="auto"/>
            <w:bottom w:val="none" w:sz="0" w:space="0" w:color="auto"/>
            <w:right w:val="none" w:sz="0" w:space="0" w:color="auto"/>
          </w:divBdr>
        </w:div>
        <w:div w:id="979112643">
          <w:marLeft w:val="0"/>
          <w:marRight w:val="0"/>
          <w:marTop w:val="120"/>
          <w:marBottom w:val="120"/>
          <w:divBdr>
            <w:top w:val="none" w:sz="0" w:space="0" w:color="auto"/>
            <w:left w:val="none" w:sz="0" w:space="0" w:color="auto"/>
            <w:bottom w:val="none" w:sz="0" w:space="0" w:color="auto"/>
            <w:right w:val="none" w:sz="0" w:space="0" w:color="auto"/>
          </w:divBdr>
        </w:div>
        <w:div w:id="1596981314">
          <w:marLeft w:val="0"/>
          <w:marRight w:val="0"/>
          <w:marTop w:val="120"/>
          <w:marBottom w:val="120"/>
          <w:divBdr>
            <w:top w:val="none" w:sz="0" w:space="0" w:color="auto"/>
            <w:left w:val="none" w:sz="0" w:space="0" w:color="auto"/>
            <w:bottom w:val="none" w:sz="0" w:space="0" w:color="auto"/>
            <w:right w:val="none" w:sz="0" w:space="0" w:color="auto"/>
          </w:divBdr>
        </w:div>
        <w:div w:id="2059166064">
          <w:marLeft w:val="0"/>
          <w:marRight w:val="0"/>
          <w:marTop w:val="120"/>
          <w:marBottom w:val="120"/>
          <w:divBdr>
            <w:top w:val="none" w:sz="0" w:space="0" w:color="auto"/>
            <w:left w:val="none" w:sz="0" w:space="0" w:color="auto"/>
            <w:bottom w:val="none" w:sz="0" w:space="0" w:color="auto"/>
            <w:right w:val="none" w:sz="0" w:space="0" w:color="auto"/>
          </w:divBdr>
        </w:div>
        <w:div w:id="863514421">
          <w:marLeft w:val="0"/>
          <w:marRight w:val="0"/>
          <w:marTop w:val="120"/>
          <w:marBottom w:val="120"/>
          <w:divBdr>
            <w:top w:val="none" w:sz="0" w:space="0" w:color="auto"/>
            <w:left w:val="none" w:sz="0" w:space="0" w:color="auto"/>
            <w:bottom w:val="none" w:sz="0" w:space="0" w:color="auto"/>
            <w:right w:val="none" w:sz="0" w:space="0" w:color="auto"/>
          </w:divBdr>
        </w:div>
        <w:div w:id="316153670">
          <w:marLeft w:val="0"/>
          <w:marRight w:val="0"/>
          <w:marTop w:val="120"/>
          <w:marBottom w:val="120"/>
          <w:divBdr>
            <w:top w:val="none" w:sz="0" w:space="0" w:color="auto"/>
            <w:left w:val="none" w:sz="0" w:space="0" w:color="auto"/>
            <w:bottom w:val="none" w:sz="0" w:space="0" w:color="auto"/>
            <w:right w:val="none" w:sz="0" w:space="0" w:color="auto"/>
          </w:divBdr>
        </w:div>
        <w:div w:id="1559979609">
          <w:marLeft w:val="0"/>
          <w:marRight w:val="0"/>
          <w:marTop w:val="120"/>
          <w:marBottom w:val="120"/>
          <w:divBdr>
            <w:top w:val="none" w:sz="0" w:space="0" w:color="auto"/>
            <w:left w:val="none" w:sz="0" w:space="0" w:color="auto"/>
            <w:bottom w:val="none" w:sz="0" w:space="0" w:color="auto"/>
            <w:right w:val="none" w:sz="0" w:space="0" w:color="auto"/>
          </w:divBdr>
        </w:div>
        <w:div w:id="218829588">
          <w:marLeft w:val="0"/>
          <w:marRight w:val="0"/>
          <w:marTop w:val="120"/>
          <w:marBottom w:val="120"/>
          <w:divBdr>
            <w:top w:val="none" w:sz="0" w:space="0" w:color="auto"/>
            <w:left w:val="none" w:sz="0" w:space="0" w:color="auto"/>
            <w:bottom w:val="none" w:sz="0" w:space="0" w:color="auto"/>
            <w:right w:val="none" w:sz="0" w:space="0" w:color="auto"/>
          </w:divBdr>
        </w:div>
        <w:div w:id="2125150204">
          <w:marLeft w:val="0"/>
          <w:marRight w:val="0"/>
          <w:marTop w:val="120"/>
          <w:marBottom w:val="120"/>
          <w:divBdr>
            <w:top w:val="none" w:sz="0" w:space="0" w:color="auto"/>
            <w:left w:val="none" w:sz="0" w:space="0" w:color="auto"/>
            <w:bottom w:val="none" w:sz="0" w:space="0" w:color="auto"/>
            <w:right w:val="none" w:sz="0" w:space="0" w:color="auto"/>
          </w:divBdr>
        </w:div>
        <w:div w:id="1742291398">
          <w:marLeft w:val="0"/>
          <w:marRight w:val="0"/>
          <w:marTop w:val="120"/>
          <w:marBottom w:val="120"/>
          <w:divBdr>
            <w:top w:val="none" w:sz="0" w:space="0" w:color="auto"/>
            <w:left w:val="none" w:sz="0" w:space="0" w:color="auto"/>
            <w:bottom w:val="none" w:sz="0" w:space="0" w:color="auto"/>
            <w:right w:val="none" w:sz="0" w:space="0" w:color="auto"/>
          </w:divBdr>
        </w:div>
        <w:div w:id="1813986550">
          <w:marLeft w:val="0"/>
          <w:marRight w:val="0"/>
          <w:marTop w:val="120"/>
          <w:marBottom w:val="120"/>
          <w:divBdr>
            <w:top w:val="none" w:sz="0" w:space="0" w:color="auto"/>
            <w:left w:val="none" w:sz="0" w:space="0" w:color="auto"/>
            <w:bottom w:val="none" w:sz="0" w:space="0" w:color="auto"/>
            <w:right w:val="none" w:sz="0" w:space="0" w:color="auto"/>
          </w:divBdr>
        </w:div>
        <w:div w:id="1134953529">
          <w:marLeft w:val="0"/>
          <w:marRight w:val="0"/>
          <w:marTop w:val="120"/>
          <w:marBottom w:val="120"/>
          <w:divBdr>
            <w:top w:val="none" w:sz="0" w:space="0" w:color="auto"/>
            <w:left w:val="none" w:sz="0" w:space="0" w:color="auto"/>
            <w:bottom w:val="none" w:sz="0" w:space="0" w:color="auto"/>
            <w:right w:val="none" w:sz="0" w:space="0" w:color="auto"/>
          </w:divBdr>
        </w:div>
        <w:div w:id="39862500">
          <w:marLeft w:val="0"/>
          <w:marRight w:val="0"/>
          <w:marTop w:val="120"/>
          <w:marBottom w:val="120"/>
          <w:divBdr>
            <w:top w:val="none" w:sz="0" w:space="0" w:color="auto"/>
            <w:left w:val="none" w:sz="0" w:space="0" w:color="auto"/>
            <w:bottom w:val="none" w:sz="0" w:space="0" w:color="auto"/>
            <w:right w:val="none" w:sz="0" w:space="0" w:color="auto"/>
          </w:divBdr>
        </w:div>
        <w:div w:id="2096434493">
          <w:marLeft w:val="0"/>
          <w:marRight w:val="0"/>
          <w:marTop w:val="120"/>
          <w:marBottom w:val="120"/>
          <w:divBdr>
            <w:top w:val="none" w:sz="0" w:space="0" w:color="auto"/>
            <w:left w:val="none" w:sz="0" w:space="0" w:color="auto"/>
            <w:bottom w:val="none" w:sz="0" w:space="0" w:color="auto"/>
            <w:right w:val="none" w:sz="0" w:space="0" w:color="auto"/>
          </w:divBdr>
        </w:div>
        <w:div w:id="1536193107">
          <w:marLeft w:val="0"/>
          <w:marRight w:val="0"/>
          <w:marTop w:val="120"/>
          <w:marBottom w:val="120"/>
          <w:divBdr>
            <w:top w:val="none" w:sz="0" w:space="0" w:color="auto"/>
            <w:left w:val="none" w:sz="0" w:space="0" w:color="auto"/>
            <w:bottom w:val="none" w:sz="0" w:space="0" w:color="auto"/>
            <w:right w:val="none" w:sz="0" w:space="0" w:color="auto"/>
          </w:divBdr>
        </w:div>
      </w:divsChild>
    </w:div>
    <w:div w:id="1467628012">
      <w:bodyDiv w:val="1"/>
      <w:marLeft w:val="0"/>
      <w:marRight w:val="0"/>
      <w:marTop w:val="0"/>
      <w:marBottom w:val="0"/>
      <w:divBdr>
        <w:top w:val="none" w:sz="0" w:space="0" w:color="auto"/>
        <w:left w:val="none" w:sz="0" w:space="0" w:color="auto"/>
        <w:bottom w:val="none" w:sz="0" w:space="0" w:color="auto"/>
        <w:right w:val="none" w:sz="0" w:space="0" w:color="auto"/>
      </w:divBdr>
    </w:div>
    <w:div w:id="1496259842">
      <w:bodyDiv w:val="1"/>
      <w:marLeft w:val="0"/>
      <w:marRight w:val="0"/>
      <w:marTop w:val="0"/>
      <w:marBottom w:val="0"/>
      <w:divBdr>
        <w:top w:val="none" w:sz="0" w:space="0" w:color="auto"/>
        <w:left w:val="none" w:sz="0" w:space="0" w:color="auto"/>
        <w:bottom w:val="none" w:sz="0" w:space="0" w:color="auto"/>
        <w:right w:val="none" w:sz="0" w:space="0" w:color="auto"/>
      </w:divBdr>
    </w:div>
    <w:div w:id="1532184857">
      <w:bodyDiv w:val="1"/>
      <w:marLeft w:val="0"/>
      <w:marRight w:val="0"/>
      <w:marTop w:val="0"/>
      <w:marBottom w:val="0"/>
      <w:divBdr>
        <w:top w:val="none" w:sz="0" w:space="0" w:color="auto"/>
        <w:left w:val="none" w:sz="0" w:space="0" w:color="auto"/>
        <w:bottom w:val="none" w:sz="0" w:space="0" w:color="auto"/>
        <w:right w:val="none" w:sz="0" w:space="0" w:color="auto"/>
      </w:divBdr>
    </w:div>
    <w:div w:id="1540044122">
      <w:bodyDiv w:val="1"/>
      <w:marLeft w:val="0"/>
      <w:marRight w:val="0"/>
      <w:marTop w:val="0"/>
      <w:marBottom w:val="0"/>
      <w:divBdr>
        <w:top w:val="none" w:sz="0" w:space="0" w:color="auto"/>
        <w:left w:val="none" w:sz="0" w:space="0" w:color="auto"/>
        <w:bottom w:val="none" w:sz="0" w:space="0" w:color="auto"/>
        <w:right w:val="none" w:sz="0" w:space="0" w:color="auto"/>
      </w:divBdr>
    </w:div>
    <w:div w:id="1541087543">
      <w:bodyDiv w:val="1"/>
      <w:marLeft w:val="0"/>
      <w:marRight w:val="0"/>
      <w:marTop w:val="0"/>
      <w:marBottom w:val="0"/>
      <w:divBdr>
        <w:top w:val="none" w:sz="0" w:space="0" w:color="auto"/>
        <w:left w:val="none" w:sz="0" w:space="0" w:color="auto"/>
        <w:bottom w:val="none" w:sz="0" w:space="0" w:color="auto"/>
        <w:right w:val="none" w:sz="0" w:space="0" w:color="auto"/>
      </w:divBdr>
    </w:div>
    <w:div w:id="1556966740">
      <w:bodyDiv w:val="1"/>
      <w:marLeft w:val="0"/>
      <w:marRight w:val="0"/>
      <w:marTop w:val="0"/>
      <w:marBottom w:val="0"/>
      <w:divBdr>
        <w:top w:val="none" w:sz="0" w:space="0" w:color="auto"/>
        <w:left w:val="none" w:sz="0" w:space="0" w:color="auto"/>
        <w:bottom w:val="none" w:sz="0" w:space="0" w:color="auto"/>
        <w:right w:val="none" w:sz="0" w:space="0" w:color="auto"/>
      </w:divBdr>
    </w:div>
    <w:div w:id="1589657463">
      <w:bodyDiv w:val="1"/>
      <w:marLeft w:val="0"/>
      <w:marRight w:val="0"/>
      <w:marTop w:val="0"/>
      <w:marBottom w:val="0"/>
      <w:divBdr>
        <w:top w:val="none" w:sz="0" w:space="0" w:color="auto"/>
        <w:left w:val="none" w:sz="0" w:space="0" w:color="auto"/>
        <w:bottom w:val="none" w:sz="0" w:space="0" w:color="auto"/>
        <w:right w:val="none" w:sz="0" w:space="0" w:color="auto"/>
      </w:divBdr>
    </w:div>
    <w:div w:id="1615093284">
      <w:bodyDiv w:val="1"/>
      <w:marLeft w:val="0"/>
      <w:marRight w:val="0"/>
      <w:marTop w:val="0"/>
      <w:marBottom w:val="0"/>
      <w:divBdr>
        <w:top w:val="none" w:sz="0" w:space="0" w:color="auto"/>
        <w:left w:val="none" w:sz="0" w:space="0" w:color="auto"/>
        <w:bottom w:val="none" w:sz="0" w:space="0" w:color="auto"/>
        <w:right w:val="none" w:sz="0" w:space="0" w:color="auto"/>
      </w:divBdr>
    </w:div>
    <w:div w:id="1660499836">
      <w:bodyDiv w:val="1"/>
      <w:marLeft w:val="0"/>
      <w:marRight w:val="0"/>
      <w:marTop w:val="0"/>
      <w:marBottom w:val="0"/>
      <w:divBdr>
        <w:top w:val="none" w:sz="0" w:space="0" w:color="auto"/>
        <w:left w:val="none" w:sz="0" w:space="0" w:color="auto"/>
        <w:bottom w:val="none" w:sz="0" w:space="0" w:color="auto"/>
        <w:right w:val="none" w:sz="0" w:space="0" w:color="auto"/>
      </w:divBdr>
    </w:div>
    <w:div w:id="1784181803">
      <w:bodyDiv w:val="1"/>
      <w:marLeft w:val="0"/>
      <w:marRight w:val="0"/>
      <w:marTop w:val="0"/>
      <w:marBottom w:val="0"/>
      <w:divBdr>
        <w:top w:val="none" w:sz="0" w:space="0" w:color="auto"/>
        <w:left w:val="none" w:sz="0" w:space="0" w:color="auto"/>
        <w:bottom w:val="none" w:sz="0" w:space="0" w:color="auto"/>
        <w:right w:val="none" w:sz="0" w:space="0" w:color="auto"/>
      </w:divBdr>
    </w:div>
    <w:div w:id="1805930345">
      <w:bodyDiv w:val="1"/>
      <w:marLeft w:val="0"/>
      <w:marRight w:val="0"/>
      <w:marTop w:val="0"/>
      <w:marBottom w:val="0"/>
      <w:divBdr>
        <w:top w:val="none" w:sz="0" w:space="0" w:color="auto"/>
        <w:left w:val="none" w:sz="0" w:space="0" w:color="auto"/>
        <w:bottom w:val="none" w:sz="0" w:space="0" w:color="auto"/>
        <w:right w:val="none" w:sz="0" w:space="0" w:color="auto"/>
      </w:divBdr>
    </w:div>
    <w:div w:id="1877114147">
      <w:bodyDiv w:val="1"/>
      <w:marLeft w:val="0"/>
      <w:marRight w:val="0"/>
      <w:marTop w:val="0"/>
      <w:marBottom w:val="0"/>
      <w:divBdr>
        <w:top w:val="none" w:sz="0" w:space="0" w:color="auto"/>
        <w:left w:val="none" w:sz="0" w:space="0" w:color="auto"/>
        <w:bottom w:val="none" w:sz="0" w:space="0" w:color="auto"/>
        <w:right w:val="none" w:sz="0" w:space="0" w:color="auto"/>
      </w:divBdr>
    </w:div>
    <w:div w:id="2001300265">
      <w:bodyDiv w:val="1"/>
      <w:marLeft w:val="0"/>
      <w:marRight w:val="0"/>
      <w:marTop w:val="0"/>
      <w:marBottom w:val="0"/>
      <w:divBdr>
        <w:top w:val="none" w:sz="0" w:space="0" w:color="auto"/>
        <w:left w:val="none" w:sz="0" w:space="0" w:color="auto"/>
        <w:bottom w:val="none" w:sz="0" w:space="0" w:color="auto"/>
        <w:right w:val="none" w:sz="0" w:space="0" w:color="auto"/>
      </w:divBdr>
    </w:div>
    <w:div w:id="2050031699">
      <w:bodyDiv w:val="1"/>
      <w:marLeft w:val="0"/>
      <w:marRight w:val="0"/>
      <w:marTop w:val="0"/>
      <w:marBottom w:val="0"/>
      <w:divBdr>
        <w:top w:val="none" w:sz="0" w:space="0" w:color="auto"/>
        <w:left w:val="none" w:sz="0" w:space="0" w:color="auto"/>
        <w:bottom w:val="none" w:sz="0" w:space="0" w:color="auto"/>
        <w:right w:val="none" w:sz="0" w:space="0" w:color="auto"/>
      </w:divBdr>
    </w:div>
    <w:div w:id="2071684071">
      <w:bodyDiv w:val="1"/>
      <w:marLeft w:val="0"/>
      <w:marRight w:val="0"/>
      <w:marTop w:val="0"/>
      <w:marBottom w:val="0"/>
      <w:divBdr>
        <w:top w:val="none" w:sz="0" w:space="0" w:color="auto"/>
        <w:left w:val="none" w:sz="0" w:space="0" w:color="auto"/>
        <w:bottom w:val="none" w:sz="0" w:space="0" w:color="auto"/>
        <w:right w:val="none" w:sz="0" w:space="0" w:color="auto"/>
      </w:divBdr>
    </w:div>
    <w:div w:id="2123066170">
      <w:bodyDiv w:val="1"/>
      <w:marLeft w:val="0"/>
      <w:marRight w:val="0"/>
      <w:marTop w:val="0"/>
      <w:marBottom w:val="0"/>
      <w:divBdr>
        <w:top w:val="none" w:sz="0" w:space="0" w:color="auto"/>
        <w:left w:val="none" w:sz="0" w:space="0" w:color="auto"/>
        <w:bottom w:val="none" w:sz="0" w:space="0" w:color="auto"/>
        <w:right w:val="none" w:sz="0" w:space="0" w:color="auto"/>
      </w:divBdr>
    </w:div>
    <w:div w:id="213309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Lee03</b:Tag>
    <b:SourceType>JournalArticle</b:SourceType>
    <b:Guid>{249EB9E1-D09F-4B1F-9C18-3361D7BB9213}</b:Guid>
    <b:Title>Laparoscopic appendicectomy Vs Open Appendicectomy</b:Title>
    <b:Year>2003</b:Year>
    <b:Author>
      <b:Author>
        <b:Corporate>Lee CH</b:Corporate>
      </b:Author>
    </b:Author>
    <b:JournalName>Int Surg</b:JournalName>
    <b:Pages>92-4</b:Pages>
    <b:RefOrder>12</b:RefOrder>
  </b:Source>
  <b:Source>
    <b:Tag>LiH26</b:Tag>
    <b:SourceType>Book</b:SourceType>
    <b:Guid>{C03084A9-CCFC-4F45-BA6C-1C4ECDA5585F}</b:Guid>
    <b:Author>
      <b:Author>
        <b:Corporate>Li H</b:Corporate>
      </b:Author>
    </b:Author>
    <b:Title>Appendicitis burden in Africa, 2010-2023: temporal trends, pandemic-era deviations, and projections to 2030</b:Title>
    <b:Year>2026</b:Year>
    <b:Publisher>Trop Med Health</b:Publisher>
    <b:RefOrder>2</b:RefOrder>
  </b:Source>
  <b:Source>
    <b:Tag>Hum06</b:Tag>
    <b:SourceType>Book</b:SourceType>
    <b:Guid>{86468DDF-CA27-467D-9C60-77F4B1C308CF}</b:Guid>
    <b:Author>
      <b:Author>
        <b:Corporate>Humes DJ</b:Corporate>
      </b:Author>
    </b:Author>
    <b:Title>Acute Appendicitis</b:Title>
    <b:Year>2006</b:Year>
    <b:Publisher>BMJ</b:Publisher>
    <b:RefOrder>4</b:RefOrder>
  </b:Source>
  <b:Source>
    <b:Tag>Mar25</b:Tag>
    <b:SourceType>Book</b:SourceType>
    <b:Guid>{667D0333-0555-42F9-8DE5-9E64B7E6FA1C}</b:Guid>
    <b:Author>
      <b:Author>
        <b:Corporate>Martinah Lendri</b:Corporate>
      </b:Author>
    </b:Author>
    <b:Title>Post operative infections after Appendectomy for  acute appendicitis:The surgeon's checklist</b:Title>
    <b:Year>2025</b:Year>
    <b:Publisher>Antibiotics</b:Publisher>
    <b:RefOrder>5</b:RefOrder>
  </b:Source>
  <b:Source>
    <b:Tag>Meh04</b:Tag>
    <b:SourceType>Book</b:SourceType>
    <b:Guid>{3223F0A4-0FA7-41F0-8D43-D213D7BB0422}</b:Guid>
    <b:Author>
      <b:Author>
        <b:Corporate>Mehinto DK</b:Corporate>
      </b:Author>
    </b:Author>
    <b:Title>Les complications d'appendicectomie pour appendicite aiguë chez l'adulte au Centre National Hospitalier et Universitaire (CHNU) de Cotonou</b:Title>
    <b:Year>2004</b:Year>
    <b:Publisher>Med Afr Noire</b:Publisher>
    <b:RefOrder>6</b:RefOrder>
  </b:Source>
  <b:Source>
    <b:Tag>Pis01</b:Tag>
    <b:SourceType>Book</b:SourceType>
    <b:Guid>{5396298A-077A-4D0F-A99C-E07998FAAC54}</b:Guid>
    <b:Author>
      <b:Author>
        <b:Corporate>Piskun G</b:Corporate>
      </b:Author>
    </b:Author>
    <b:Title>Comparison of laparoscopic, open, and converted appendectomy for perforated appendicitis</b:Title>
    <b:Year>2001</b:Year>
    <b:Publisher>Am Endosc</b:Publisher>
    <b:RefOrder>7</b:RefOrder>
  </b:Source>
  <b:Source>
    <b:Tag>Far05</b:Tag>
    <b:SourceType>Book</b:SourceType>
    <b:Guid>{C3E5017F-2D68-4CED-B3BB-6CA8AFC8AA3D}</b:Guid>
    <b:Author>
      <b:Author>
        <b:Corporate>Farthouat P</b:Corporate>
      </b:Author>
    </b:Author>
    <b:Title>Appendicectomies en milieu tropical : étude prospective à l’hôpital principal de Dakar</b:Title>
    <b:Year>2005</b:Year>
    <b:Publisher>Med Trop</b:Publisher>
    <b:RefOrder>8</b:RefOrder>
  </b:Source>
  <b:Source>
    <b:Tag>Beg06</b:Tag>
    <b:SourceType>Book</b:SourceType>
    <b:Guid>{E979758E-302E-45E3-9B69-01A9E5E175E8}</b:Guid>
    <b:Author>
      <b:Author>
        <b:Corporate>Begin GF</b:Corporate>
      </b:Author>
    </b:Author>
    <b:Title>Appendicectomie laparoscopique</b:Title>
    <b:Year>2006</b:Year>
    <b:Publisher>Encycl Med Chir</b:Publisher>
    <b:RefOrder>10</b:RefOrder>
  </b:Source>
  <b:Source>
    <b:Tag>Lee031</b:Tag>
    <b:SourceType>Book</b:SourceType>
    <b:Guid>{A9D043D6-E540-4BE8-BA3D-392FE35AA980}</b:Guid>
    <b:Author>
      <b:Author>
        <b:NameList>
          <b:Person>
            <b:Last>CH</b:Last>
            <b:First>Lee</b:First>
          </b:Person>
        </b:NameList>
      </b:Author>
    </b:Author>
    <b:Title>Laparoscopic appendicectomy versus open appendicectomy in children: another opinion</b:Title>
    <b:Year>2003</b:Year>
    <b:Publisher>Int Surg</b:Publisher>
    <b:RefOrder>13</b:RefOrder>
  </b:Source>
  <b:Source xmlns:b="http://schemas.openxmlformats.org/officeDocument/2006/bibliography">
    <b:Tag>Pat03</b:Tag>
    <b:SourceType>Book</b:SourceType>
    <b:Guid>{C4446F2B-69C3-42A0-8320-1D66ECF1C223}</b:Guid>
    <b:Author>
      <b:Author>
        <b:NameList>
          <b:Person>
            <b:Last>SC</b:Last>
            <b:First>Patel</b:First>
          </b:Person>
        </b:NameList>
      </b:Author>
    </b:Author>
    <b:Title>Laparoscopic appendicectomy at the Aga Khan Hospital, Nairobi</b:Title>
    <b:Year>2003</b:Year>
    <b:Publisher>East Afr Med</b:Publisher>
    <b:RefOrder>9</b:RefOrder>
  </b:Source>
  <b:Source xmlns:b="http://schemas.openxmlformats.org/officeDocument/2006/bibliography">
    <b:Tag>Far24</b:Tag>
    <b:SourceType>Book</b:SourceType>
    <b:Guid>{971C3EEC-0916-42C0-A576-6FA9861E39FC}</b:Guid>
    <b:Author>
      <b:Author>
        <b:NameList>
          <b:Person>
            <b:Last>SY</b:Last>
            <b:First>Farhan</b:First>
          </b:Person>
        </b:NameList>
      </b:Author>
    </b:Author>
    <b:Title>Factors associated with early in-hospital adverse outcomes following surgery for acute appendicitis in uganda: a multicenter study </b:Title>
    <b:Year>2024</b:Year>
    <b:Publisher>Perioper Med</b:Publisher>
    <b:RefOrder>3</b:RefOrder>
  </b:Source>
  <b:Source>
    <b:Tag>Fer17</b:Tag>
    <b:SourceType>Book</b:SourceType>
    <b:Guid>{206715AE-43A2-4994-931B-389A7BD8CE28}</b:Guid>
    <b:Author>
      <b:Author>
        <b:Corporate>Ferris</b:Corporate>
      </b:Author>
    </b:Author>
    <b:Title>The Global Incidence of Appendicitis: A Systematic Review of Population-based Studies</b:Title>
    <b:Year>2017</b:Year>
    <b:Publisher>Annals Of Surgery</b:Publisher>
    <b:RefOrder>1</b:RefOrder>
  </b:Source>
  <b:Source>
    <b:Tag>And03</b:Tag>
    <b:SourceType>Book</b:SourceType>
    <b:Guid>{B08F6DD7-B8D1-4EC1-BDD6-508BD2CD6168}</b:Guid>
    <b:Author>
      <b:Author>
        <b:NameList>
          <b:Person>
            <b:Last>BR</b:Last>
            <b:First>Andersen</b:First>
          </b:Person>
        </b:NameList>
      </b:Author>
    </b:Author>
    <b:Title>Antibiotics versus placebo for prevention of postoperative infection after appendectomy</b:Title>
    <b:Year>2003</b:Year>
    <b:Publisher>Cochrane Database Syst. Rev </b:Publisher>
    <b:RefOrder>11</b:RefOrder>
  </b:Source>
</b:Sources>
</file>

<file path=customXml/itemProps1.xml><?xml version="1.0" encoding="utf-8"?>
<ds:datastoreItem xmlns:ds="http://schemas.openxmlformats.org/officeDocument/2006/customXml" ds:itemID="{3A4E1B1C-06C8-4E9E-8128-15404FA97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2026-06-22T18:34:00Z</dcterms:created>
  <dcterms:modified xsi:type="dcterms:W3CDTF">2026-07-10T18:43:00Z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b514c281-b9c5-41f0-a596-ff204f735ac5</vt:lpwstr>
  </property>
</Properties>
</file>